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clear" w:color="auto" w:fill="FFFFFF"/>
        <w:outlineLvl w:val="0"/>
        <w:rPr>
          <w:bCs/>
          <w:color w:val="222222"/>
          <w:kern w:val="36"/>
          <w:lang w:eastAsia="de-AT"/>
        </w:rPr>
      </w:pPr>
    </w:p>
    <w:p>
      <w:pPr>
        <w:autoSpaceDE w:val="0"/>
        <w:autoSpaceDN w:val="0"/>
        <w:adjustRightInd w:val="0"/>
        <w:rPr>
          <w:rFonts w:ascii="ApercuPro-Bold" w:hAnsi="ApercuPro-Bold" w:cs="ApercuPro-Bold"/>
          <w:b/>
          <w:bCs/>
          <w:color w:val="665A0D"/>
          <w:sz w:val="16"/>
          <w:szCs w:val="16"/>
        </w:rPr>
      </w:pPr>
      <w:r>
        <w:rPr>
          <w:rFonts w:ascii="Arial" w:hAnsi="Arial" w:cs="Arial"/>
          <w:b/>
          <w:bCs/>
          <w:color w:val="665A0D"/>
        </w:rPr>
        <w:t>BILDER</w:t>
      </w:r>
      <w:r>
        <w:rPr>
          <w:rFonts w:ascii="Arial" w:hAnsi="Arial" w:cs="Arial"/>
          <w:b/>
          <w:bCs/>
          <w:color w:val="665A0D"/>
        </w:rPr>
        <w:br/>
      </w:r>
    </w:p>
    <w:p>
      <w:pPr>
        <w:autoSpaceDE w:val="0"/>
        <w:autoSpaceDN w:val="0"/>
        <w:adjustRightInd w:val="0"/>
        <w:rPr>
          <w:rFonts w:ascii="ApercuPro-Bold" w:hAnsi="ApercuPro-Bold" w:cs="ApercuPro-Bold"/>
          <w:b/>
          <w:bCs/>
          <w:color w:val="665A0D"/>
          <w:sz w:val="28"/>
          <w:szCs w:val="28"/>
        </w:rPr>
      </w:pPr>
      <w:r>
        <w:rPr>
          <w:rFonts w:ascii="ApercuPro-Bold" w:hAnsi="ApercuPro-Bold" w:cs="ApercuPro-Bold"/>
          <w:b/>
          <w:bCs/>
          <w:color w:val="665A0D"/>
          <w:sz w:val="28"/>
          <w:szCs w:val="28"/>
        </w:rPr>
        <w:t xml:space="preserve">Allegorie. </w:t>
      </w:r>
    </w:p>
    <w:p>
      <w:pPr>
        <w:autoSpaceDE w:val="0"/>
        <w:autoSpaceDN w:val="0"/>
        <w:adjustRightInd w:val="0"/>
        <w:rPr>
          <w:rFonts w:ascii="ApercuPro-Bold" w:hAnsi="ApercuPro-Bold" w:cs="ApercuPro-Bold"/>
          <w:b/>
          <w:bCs/>
          <w:color w:val="665A0D"/>
          <w:sz w:val="28"/>
          <w:szCs w:val="28"/>
        </w:rPr>
      </w:pPr>
      <w:r>
        <w:rPr>
          <w:rFonts w:ascii="ApercuPro-Bold" w:hAnsi="ApercuPro-Bold" w:cs="ApercuPro-Bold"/>
          <w:b/>
          <w:bCs/>
          <w:color w:val="665A0D"/>
          <w:sz w:val="28"/>
          <w:szCs w:val="28"/>
        </w:rPr>
        <w:t>Die Sprache der Bilder</w:t>
      </w:r>
    </w:p>
    <w:p>
      <w:pPr>
        <w:rPr>
          <w:rFonts w:ascii="Arial" w:hAnsi="Arial" w:cs="Arial"/>
          <w:b/>
          <w:szCs w:val="28"/>
        </w:rPr>
      </w:pPr>
    </w:p>
    <w:p>
      <w:pPr>
        <w:rPr>
          <w:rFonts w:ascii="Arial" w:hAnsi="Arial" w:cs="Arial"/>
        </w:rPr>
      </w:pPr>
    </w:p>
    <w:p>
      <w:pPr>
        <w:rPr>
          <w:b/>
        </w:rPr>
      </w:pPr>
    </w:p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Gaspero Bruschi (1710-</w:t>
      </w:r>
      <w:r>
        <w:rPr>
          <w:b/>
        </w:rPr>
        <w:t xml:space="preserve">1780) </w:t>
      </w:r>
    </w:p>
    <w:p>
      <w:r>
        <w:t xml:space="preserve">Frühling aus: </w:t>
      </w:r>
      <w:r>
        <w:t>Die vier Jahreszeiten, um 1745</w:t>
      </w:r>
    </w:p>
    <w:p>
      <w:r>
        <w:t xml:space="preserve">Hartporzellan, Aufglasurfarben </w:t>
      </w:r>
    </w:p>
    <w:p>
      <w:pPr>
        <w:rPr>
          <w:sz w:val="16"/>
          <w:szCs w:val="16"/>
        </w:rPr>
      </w:pPr>
    </w:p>
    <w:p>
      <w:r>
        <w:t xml:space="preserve">Frühling (Ausschnitt) aus: </w:t>
      </w:r>
      <w:r>
        <w:t>Die vier Jahreszeiten, um 1745</w:t>
      </w:r>
    </w:p>
    <w:p>
      <w:pPr>
        <w:rPr>
          <w:b/>
        </w:rPr>
      </w:pPr>
      <w:r>
        <w:t xml:space="preserve">Hartporzellan, Aufglasurfarben </w:t>
      </w:r>
    </w:p>
    <w:p>
      <w:pPr>
        <w:rPr>
          <w:sz w:val="16"/>
          <w:szCs w:val="16"/>
        </w:rPr>
      </w:pPr>
    </w:p>
    <w:p>
      <w:r>
        <w:t>Modellmeister, Carl Wendelin Anreiter von Ziernfeld (1702 Schemnitz – 1747 Wien) Porzellanmaler, nach Girolamo Ticciati (1671 Florenz – 1744 Florenz), Manufaktur Carlo Ginori Doccia (Sesto Fiorentino gegr. 1737)</w:t>
      </w:r>
    </w:p>
    <w:p>
      <w:pPr>
        <w:rPr>
          <w:sz w:val="16"/>
          <w:szCs w:val="16"/>
        </w:rPr>
      </w:pPr>
      <w:bookmarkStart w:id="0" w:name="_GoBack"/>
      <w:bookmarkEnd w:id="0"/>
    </w:p>
    <w:p>
      <w:r>
        <w:rPr>
          <w:b/>
        </w:rPr>
        <w:t>©</w:t>
      </w:r>
      <w:r>
        <w:t xml:space="preserve"> LIECHTENSTEIN. The Princely Collections, Vaduz–Vienna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Joachim Camerarius (1534-</w:t>
      </w:r>
      <w:r>
        <w:rPr>
          <w:b/>
        </w:rPr>
        <w:t>1598)</w:t>
      </w:r>
    </w:p>
    <w:p>
      <w:r>
        <w:t>Joachimi Camerarii Symbolorum et Emblematum Centuriae quatuor, 1677,</w:t>
      </w:r>
    </w:p>
    <w:p>
      <w:r>
        <w:t xml:space="preserve"> „Zornentbrannt braust er auf“ [= Nordamerikanischer Truthahn als Sinnbild für aufbrausende Wut], Abt. III. Nr. 67</w:t>
      </w:r>
    </w:p>
    <w:p>
      <w:r>
        <w:t>© Universität Salzburg, Universitätsbibliothek, Abt. Sondersammlungen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Hendrik Goltzius (1558 – 1617), Jakob Matham (Stecher)</w:t>
      </w:r>
    </w:p>
    <w:p>
      <w:r>
        <w:t xml:space="preserve">Die sieben Todsünden, Invidia (Neid) </w:t>
      </w:r>
    </w:p>
    <w:p>
      <w:r>
        <w:t>© Universität Salzburg, Universitätsbibliothek, Abt. Sondersammlungen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Pieter Jansz. Hesemann (15159</w:t>
      </w:r>
      <w:r>
        <w:rPr>
          <w:b/>
        </w:rPr>
        <w:t>2/93-</w:t>
      </w:r>
      <w:r>
        <w:rPr>
          <w:b/>
        </w:rPr>
        <w:t>1624)</w:t>
      </w:r>
    </w:p>
    <w:p>
      <w:r>
        <w:t xml:space="preserve">Allegorie des Todes und der Auferstehung, 1620 </w:t>
      </w:r>
    </w:p>
    <w:p>
      <w:r>
        <w:t>© Gemäldegalerie der Akademie der bildenden Künste Wien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Österreichisch, Allegorie der Schönen Künste</w:t>
      </w:r>
    </w:p>
    <w:p>
      <w:r>
        <w:t xml:space="preserve">Residenzgalerie Salzburg </w:t>
      </w:r>
    </w:p>
    <w:p>
      <w:r>
        <w:t>© 2017 RGS/Ghezzi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 xml:space="preserve">Johann Georg </w:t>
      </w:r>
      <w:r>
        <w:rPr>
          <w:b/>
        </w:rPr>
        <w:t>Platzer (1704-</w:t>
      </w:r>
      <w:r>
        <w:rPr>
          <w:b/>
        </w:rPr>
        <w:t>1761)</w:t>
      </w:r>
    </w:p>
    <w:p>
      <w:r>
        <w:t xml:space="preserve">Konzertprobe im Schloss, (Ausschnitt), Residenzgalerie Salzburg </w:t>
      </w:r>
    </w:p>
    <w:p>
      <w:r>
        <w:t>© 2017 RGS/Ghezzi</w:t>
      </w:r>
    </w:p>
    <w:p/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Giacomo del Pó (1652-</w:t>
      </w:r>
      <w:r>
        <w:rPr>
          <w:b/>
        </w:rPr>
        <w:t>1726)</w:t>
      </w:r>
    </w:p>
    <w:p>
      <w:r>
        <w:t>Allegorie auf den Rum Prinz E</w:t>
      </w:r>
      <w:r>
        <w:t>ugens (Teilskizze), um 1720/25</w:t>
      </w:r>
    </w:p>
    <w:p>
      <w:r>
        <w:t>Residenzgalerie Salzburg</w:t>
      </w:r>
    </w:p>
    <w:p>
      <w:r>
        <w:t>© 2017 RGS/Ghezzi</w:t>
      </w:r>
    </w:p>
    <w:p/>
    <w:p/>
    <w:p>
      <w:pPr>
        <w:pStyle w:val="Listenabsatz"/>
        <w:numPr>
          <w:ilvl w:val="0"/>
          <w:numId w:val="20"/>
        </w:numPr>
        <w:spacing w:line="280" w:lineRule="atLeast"/>
        <w:rPr>
          <w:b/>
          <w:bCs/>
        </w:rPr>
      </w:pPr>
      <w:r>
        <w:rPr>
          <w:b/>
          <w:bCs/>
        </w:rPr>
        <w:t>Rembrandt, Harmensz. van Rijn (1606 – 1669)</w:t>
      </w:r>
    </w:p>
    <w:p>
      <w:pPr>
        <w:rPr>
          <w:b/>
          <w:bCs/>
        </w:rPr>
      </w:pPr>
      <w:r>
        <w:rPr>
          <w:bCs/>
        </w:rPr>
        <w:t>Amor mit Seifenblase, 1634</w:t>
      </w:r>
      <w:r>
        <w:rPr>
          <w:b/>
          <w:bCs/>
        </w:rPr>
        <w:t xml:space="preserve"> </w:t>
      </w:r>
    </w:p>
    <w:p>
      <w:r>
        <w:rPr>
          <w:bCs/>
        </w:rPr>
        <w:t xml:space="preserve">© LIECHTENSTEIN. The Princely Collectinos, Vaduz-Vienna </w:t>
      </w:r>
      <w:r>
        <w:t xml:space="preserve"> </w:t>
      </w:r>
    </w:p>
    <w:p/>
    <w:p/>
    <w:p>
      <w:pPr>
        <w:pStyle w:val="Listenabsatz"/>
        <w:numPr>
          <w:ilvl w:val="0"/>
          <w:numId w:val="20"/>
        </w:numPr>
        <w:spacing w:line="280" w:lineRule="atLeast"/>
        <w:rPr>
          <w:b/>
        </w:rPr>
      </w:pPr>
      <w:r>
        <w:rPr>
          <w:b/>
        </w:rPr>
        <w:t>Johann Michael Rottmayr (1654-</w:t>
      </w:r>
      <w:r>
        <w:rPr>
          <w:b/>
        </w:rPr>
        <w:t>1730)</w:t>
      </w:r>
    </w:p>
    <w:p>
      <w:r>
        <w:t>Neptun gebietet den Winden Einhalt (Quos ego), 1689</w:t>
      </w:r>
    </w:p>
    <w:p>
      <w:r>
        <w:t xml:space="preserve">Fresko, Carabinierisaal, Prunkräume, Residenz zu Salzburg, </w:t>
      </w:r>
    </w:p>
    <w:p>
      <w:r>
        <w:t>© RGS 2017/Ghezzi</w:t>
      </w:r>
    </w:p>
    <w:p>
      <w:pPr>
        <w:rPr>
          <w:sz w:val="16"/>
          <w:szCs w:val="16"/>
        </w:rPr>
      </w:pPr>
    </w:p>
    <w:p>
      <w:r>
        <w:t>Neptun gebietet den Winden Einhalt (Quos ego), 1689</w:t>
      </w:r>
    </w:p>
    <w:p>
      <w:r>
        <w:t>Fresko, Carabinierisaal, Prunkräume, Residenz zu Salzburg (Ausschnitt)</w:t>
      </w:r>
    </w:p>
    <w:p>
      <w:r>
        <w:t>© RGS 2017/Ghezzi</w:t>
      </w:r>
    </w:p>
    <w:p>
      <w:pPr>
        <w:rPr>
          <w:sz w:val="16"/>
          <w:szCs w:val="16"/>
        </w:rPr>
      </w:pPr>
    </w:p>
    <w:p>
      <w:r>
        <w:t xml:space="preserve">Alexander-Zyklus, Huldigung Alexanders durch die Römer, 1711, Öl/Leinwand, Deckengemälde, Audienzzimmer, Prunkräume, Residenz zu Salzburg (Ausschnitt) </w:t>
      </w:r>
    </w:p>
    <w:p>
      <w:r>
        <w:t>© RGS 2017/Ghezzi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Peter Paul Rubens</w:t>
      </w:r>
      <w:r>
        <w:rPr>
          <w:b/>
        </w:rPr>
        <w:t xml:space="preserve"> (1577-1640)</w:t>
      </w:r>
    </w:p>
    <w:p>
      <w:r>
        <w:t xml:space="preserve">Allegorie auf den Krieg, um 1628 </w:t>
      </w:r>
    </w:p>
    <w:p>
      <w:r>
        <w:t>© LIECHTENSTEIN. The Princely Collections, Vaduz–Vienna</w:t>
      </w:r>
    </w:p>
    <w:p/>
    <w:p/>
    <w:p>
      <w:pPr>
        <w:pStyle w:val="Listenabsatz"/>
        <w:numPr>
          <w:ilvl w:val="0"/>
          <w:numId w:val="20"/>
        </w:numPr>
        <w:spacing w:line="280" w:lineRule="atLeast"/>
        <w:rPr>
          <w:b/>
        </w:rPr>
      </w:pPr>
      <w:r>
        <w:rPr>
          <w:b/>
        </w:rPr>
        <w:t>Martin Johann Schmidt (1718-</w:t>
      </w:r>
      <w:r>
        <w:rPr>
          <w:b/>
        </w:rPr>
        <w:t>1801)</w:t>
      </w:r>
    </w:p>
    <w:p>
      <w:r>
        <w:t>Allegorie</w:t>
      </w:r>
      <w:r>
        <w:t xml:space="preserve"> des Sommers, um 1791</w:t>
      </w:r>
    </w:p>
    <w:p>
      <w:r>
        <w:t>© Belvedere, Wien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Ma</w:t>
      </w:r>
      <w:r>
        <w:rPr>
          <w:b/>
        </w:rPr>
        <w:t>ssimiliano Soldani Benzi (1656-</w:t>
      </w:r>
      <w:r>
        <w:rPr>
          <w:b/>
        </w:rPr>
        <w:t>1740) nach Jean de Boulogne gen. Giambologna (1529 – 1608)</w:t>
      </w:r>
    </w:p>
    <w:p>
      <w:r>
        <w:t xml:space="preserve">Triumph der Tugend über das Laster, 1701–1706, Bronze </w:t>
      </w:r>
    </w:p>
    <w:p>
      <w:r>
        <w:t>© LIECHTENSTEIN. The Princely Collections, Vaduz–Vienna</w:t>
      </w:r>
    </w:p>
    <w:p/>
    <w:p/>
    <w:p>
      <w:pPr>
        <w:pStyle w:val="Listenabsatz"/>
        <w:numPr>
          <w:ilvl w:val="0"/>
          <w:numId w:val="20"/>
        </w:numPr>
        <w:rPr>
          <w:b/>
        </w:rPr>
      </w:pPr>
      <w:r>
        <w:rPr>
          <w:b/>
        </w:rPr>
        <w:t>Unbekannter Künstler</w:t>
      </w:r>
    </w:p>
    <w:p>
      <w:r>
        <w:t>Allegorie Asiens, Salzburg Museum (Sammlung Rossacher)</w:t>
      </w:r>
    </w:p>
    <w:p>
      <w:r>
        <w:t xml:space="preserve"> © Salzburg Museum</w:t>
      </w:r>
    </w:p>
    <w:p/>
    <w:p>
      <w:pPr>
        <w:shd w:val="clear" w:color="auto" w:fill="FFFFFF"/>
        <w:outlineLvl w:val="0"/>
        <w:rPr>
          <w:bCs/>
          <w:color w:val="222222"/>
          <w:kern w:val="36"/>
          <w:lang w:eastAsia="de-AT"/>
        </w:rPr>
      </w:pPr>
    </w:p>
    <w:p>
      <w:pPr>
        <w:shd w:val="clear" w:color="auto" w:fill="FFFFFF"/>
        <w:rPr>
          <w:rFonts w:ascii="Arial" w:hAnsi="Arial" w:cs="Arial"/>
          <w:b/>
          <w:lang w:eastAsia="de-AT"/>
        </w:rPr>
      </w:pPr>
    </w:p>
    <w:sectPr>
      <w:headerReference w:type="default" r:id="rId9"/>
      <w:footerReference w:type="default" r:id="rId10"/>
      <w:pgSz w:w="11900" w:h="16840"/>
      <w:pgMar w:top="2148" w:right="1128" w:bottom="1134" w:left="1418" w:header="45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rtescue Pro">
    <w:altName w:val="Fortescue Pro"/>
    <w:charset w:val="00"/>
    <w:family w:val="auto"/>
    <w:pitch w:val="default"/>
    <w:sig w:usb0="00000003" w:usb1="00000000" w:usb2="00000000" w:usb3="00000000" w:csb0="00000001" w:csb1="00000000"/>
  </w:font>
  <w:font w:name="Apercu Pro">
    <w:altName w:val="Apercu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45 Light">
    <w:charset w:val="00"/>
    <w:family w:val="auto"/>
    <w:pitch w:val="variable"/>
    <w:sig w:usb0="00000003" w:usb1="00000000" w:usb2="00000000" w:usb3="00000000" w:csb0="00000001" w:csb1="00000000"/>
  </w:font>
  <w:font w:name="Apercu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jc w:val="right"/>
      <w:rPr>
        <w:rFonts w:ascii="Calibri" w:hAnsi="Calibri"/>
        <w:sz w:val="20"/>
        <w:szCs w:val="20"/>
      </w:rPr>
    </w:pPr>
    <w:r>
      <w:rPr>
        <w:rFonts w:ascii="Calibri" w:hAnsi="Calibri"/>
        <w:noProof/>
        <w:sz w:val="20"/>
        <w:szCs w:val="20"/>
        <w:lang w:val="de-AT" w:eastAsia="de-AT"/>
      </w:rPr>
      <w:drawing>
        <wp:inline distT="0" distB="0" distL="0" distR="0">
          <wp:extent cx="2305953" cy="1152000"/>
          <wp:effectExtent l="0" t="0" r="5715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Q-Logo-GOL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953" cy="11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92E3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226E0"/>
    <w:multiLevelType w:val="hybridMultilevel"/>
    <w:tmpl w:val="49141C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23572"/>
    <w:multiLevelType w:val="hybridMultilevel"/>
    <w:tmpl w:val="342E321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25D35"/>
    <w:multiLevelType w:val="hybridMultilevel"/>
    <w:tmpl w:val="C6A05B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B0A5C"/>
    <w:multiLevelType w:val="hybridMultilevel"/>
    <w:tmpl w:val="6ECC2672"/>
    <w:lvl w:ilvl="0" w:tplc="2D8CE3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975"/>
    <w:multiLevelType w:val="hybridMultilevel"/>
    <w:tmpl w:val="E2A42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62B3C"/>
    <w:multiLevelType w:val="multilevel"/>
    <w:tmpl w:val="B54E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7CA"/>
    <w:multiLevelType w:val="hybridMultilevel"/>
    <w:tmpl w:val="65223B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C5570"/>
    <w:multiLevelType w:val="hybridMultilevel"/>
    <w:tmpl w:val="5882F634"/>
    <w:lvl w:ilvl="0" w:tplc="14E4B466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B45CE"/>
    <w:multiLevelType w:val="hybridMultilevel"/>
    <w:tmpl w:val="35A67D50"/>
    <w:lvl w:ilvl="0" w:tplc="86888D96">
      <w:start w:val="2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3B8228B"/>
    <w:multiLevelType w:val="hybridMultilevel"/>
    <w:tmpl w:val="EF869058"/>
    <w:lvl w:ilvl="0" w:tplc="0C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4A9574D2"/>
    <w:multiLevelType w:val="hybridMultilevel"/>
    <w:tmpl w:val="E536FB7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927427"/>
    <w:multiLevelType w:val="hybridMultilevel"/>
    <w:tmpl w:val="DCAC47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07C05"/>
    <w:multiLevelType w:val="hybridMultilevel"/>
    <w:tmpl w:val="44EA3E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73729"/>
    <w:multiLevelType w:val="hybridMultilevel"/>
    <w:tmpl w:val="5B4CEE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24DFD"/>
    <w:multiLevelType w:val="hybridMultilevel"/>
    <w:tmpl w:val="EEA02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306E8B"/>
    <w:multiLevelType w:val="hybridMultilevel"/>
    <w:tmpl w:val="323220A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A1E75"/>
    <w:multiLevelType w:val="hybridMultilevel"/>
    <w:tmpl w:val="BCB05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3F07E5"/>
    <w:multiLevelType w:val="hybridMultilevel"/>
    <w:tmpl w:val="331C3C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9"/>
  </w:num>
  <w:num w:numId="5">
    <w:abstractNumId w:val="14"/>
  </w:num>
  <w:num w:numId="6">
    <w:abstractNumId w:val="3"/>
  </w:num>
  <w:num w:numId="7">
    <w:abstractNumId w:val="4"/>
  </w:num>
  <w:num w:numId="8">
    <w:abstractNumId w:val="17"/>
  </w:num>
  <w:num w:numId="9">
    <w:abstractNumId w:val="2"/>
  </w:num>
  <w:num w:numId="10">
    <w:abstractNumId w:val="15"/>
  </w:num>
  <w:num w:numId="11">
    <w:abstractNumId w:val="13"/>
  </w:num>
  <w:num w:numId="12">
    <w:abstractNumId w:val="12"/>
  </w:num>
  <w:num w:numId="13">
    <w:abstractNumId w:val="10"/>
  </w:num>
  <w:num w:numId="14">
    <w:abstractNumId w:val="18"/>
  </w:num>
  <w:num w:numId="15">
    <w:abstractNumId w:val="5"/>
  </w:num>
  <w:num w:numId="16">
    <w:abstractNumId w:val="16"/>
  </w:num>
  <w:num w:numId="17">
    <w:abstractNumId w:val="6"/>
  </w:num>
  <w:num w:numId="18">
    <w:abstractNumId w:val="11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berschrift1Zchn">
    <w:name w:val="Überschrift 1 Zchn"/>
    <w:link w:val="berschrift1"/>
    <w:uiPriority w:val="9"/>
    <w:rPr>
      <w:rFonts w:ascii="Times" w:hAnsi="Times"/>
      <w:b/>
      <w:bCs/>
      <w:kern w:val="36"/>
      <w:sz w:val="48"/>
      <w:szCs w:val="48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Pr>
      <w:rFonts w:ascii="Calibri" w:eastAsia="Cambria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Pr>
      <w:rFonts w:ascii="Calibri" w:eastAsia="Cambria" w:hAnsi="Calibri" w:cs="Times New Roman"/>
      <w:sz w:val="22"/>
      <w:szCs w:val="21"/>
      <w:lang w:eastAsia="en-US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4"/>
      <w:szCs w:val="24"/>
      <w:lang w:eastAsia="de-DE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e-AT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KeinLeerraum">
    <w:name w:val="No Spacing"/>
    <w:uiPriority w:val="1"/>
    <w:qFormat/>
    <w:rPr>
      <w:sz w:val="24"/>
      <w:szCs w:val="24"/>
    </w:rPr>
  </w:style>
  <w:style w:type="paragraph" w:customStyle="1" w:styleId="Pa2">
    <w:name w:val="Pa2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character" w:customStyle="1" w:styleId="A3">
    <w:name w:val="A3"/>
    <w:uiPriority w:val="99"/>
    <w:rPr>
      <w:rFonts w:cs="Fortescue Pro"/>
      <w:color w:val="000000"/>
      <w:sz w:val="13"/>
      <w:szCs w:val="13"/>
    </w:rPr>
  </w:style>
  <w:style w:type="character" w:customStyle="1" w:styleId="A4">
    <w:name w:val="A4"/>
    <w:uiPriority w:val="99"/>
    <w:rPr>
      <w:rFonts w:cs="Fortescue Pro"/>
      <w:color w:val="000000"/>
      <w:sz w:val="7"/>
      <w:szCs w:val="7"/>
    </w:rPr>
  </w:style>
  <w:style w:type="paragraph" w:customStyle="1" w:styleId="Pa3">
    <w:name w:val="Pa3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paragraph" w:customStyle="1" w:styleId="Pa5">
    <w:name w:val="Pa5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paragraph" w:customStyle="1" w:styleId="Pa4">
    <w:name w:val="Pa4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character" w:customStyle="1" w:styleId="A11">
    <w:name w:val="A11"/>
    <w:uiPriority w:val="99"/>
    <w:rPr>
      <w:rFonts w:cs="Fortescue Pro"/>
      <w:color w:val="000000"/>
      <w:sz w:val="14"/>
      <w:szCs w:val="14"/>
    </w:rPr>
  </w:style>
  <w:style w:type="paragraph" w:customStyle="1" w:styleId="Pa6">
    <w:name w:val="Pa6"/>
    <w:basedOn w:val="Standard"/>
    <w:next w:val="Standard"/>
    <w:uiPriority w:val="99"/>
    <w:pPr>
      <w:autoSpaceDE w:val="0"/>
      <w:autoSpaceDN w:val="0"/>
      <w:adjustRightInd w:val="0"/>
      <w:spacing w:line="261" w:lineRule="atLeast"/>
    </w:pPr>
    <w:rPr>
      <w:rFonts w:ascii="Apercu Pro" w:hAnsi="Apercu Pro"/>
      <w:lang w:val="de-AT"/>
    </w:rPr>
  </w:style>
  <w:style w:type="character" w:customStyle="1" w:styleId="A7">
    <w:name w:val="A7"/>
    <w:uiPriority w:val="99"/>
    <w:rPr>
      <w:rFonts w:cs="Fortescue Pro"/>
      <w:color w:val="000000"/>
      <w:sz w:val="20"/>
      <w:szCs w:val="20"/>
    </w:rPr>
  </w:style>
  <w:style w:type="character" w:customStyle="1" w:styleId="A14">
    <w:name w:val="A14"/>
    <w:uiPriority w:val="99"/>
    <w:rPr>
      <w:rFonts w:cs="Fortescue Pro"/>
      <w:color w:val="000000"/>
      <w:sz w:val="11"/>
      <w:szCs w:val="11"/>
    </w:rPr>
  </w:style>
  <w:style w:type="paragraph" w:customStyle="1" w:styleId="Pa13">
    <w:name w:val="Pa13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A12">
    <w:name w:val="A12"/>
    <w:uiPriority w:val="99"/>
    <w:rPr>
      <w:rFonts w:cs="Apercu Pro"/>
      <w:b/>
      <w:bCs/>
      <w:color w:val="000000"/>
      <w:sz w:val="21"/>
      <w:szCs w:val="21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Pa11">
    <w:name w:val="Pa11"/>
    <w:basedOn w:val="Standard"/>
    <w:uiPriority w:val="99"/>
    <w:pPr>
      <w:autoSpaceDE w:val="0"/>
      <w:autoSpaceDN w:val="0"/>
      <w:spacing w:line="201" w:lineRule="atLeast"/>
    </w:pPr>
    <w:rPr>
      <w:rFonts w:ascii="Fortescue Pro" w:eastAsiaTheme="minorHAnsi" w:hAnsi="Fortescue Pro"/>
      <w:lang w:val="de-AT" w:eastAsia="de-AT"/>
    </w:rPr>
  </w:style>
  <w:style w:type="paragraph" w:customStyle="1" w:styleId="Pa12">
    <w:name w:val="Pa12"/>
    <w:basedOn w:val="Standard"/>
    <w:next w:val="Standard"/>
    <w:uiPriority w:val="99"/>
    <w:pPr>
      <w:autoSpaceDE w:val="0"/>
      <w:autoSpaceDN w:val="0"/>
      <w:adjustRightInd w:val="0"/>
      <w:spacing w:line="201" w:lineRule="atLeast"/>
    </w:pPr>
    <w:rPr>
      <w:rFonts w:ascii="Fortescue Pro" w:hAnsi="Fortescue Pro"/>
      <w:lang w:val="de-AT"/>
    </w:rPr>
  </w:style>
  <w:style w:type="character" w:customStyle="1" w:styleId="st1">
    <w:name w:val="st1"/>
    <w:basedOn w:val="Absatz-Standardschriftar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/>
    </w:rPr>
  </w:style>
  <w:style w:type="paragraph" w:customStyle="1" w:styleId="Headline1">
    <w:name w:val="Headline 1"/>
    <w:basedOn w:val="Standard"/>
    <w:link w:val="Headline1Zchn"/>
    <w:pPr>
      <w:spacing w:line="320" w:lineRule="exact"/>
    </w:pPr>
    <w:rPr>
      <w:rFonts w:ascii="Frutiger 45 Light" w:hAnsi="Frutiger 45 Light"/>
      <w:b/>
      <w:szCs w:val="18"/>
      <w:lang w:val="de-CH" w:eastAsia="en-GB"/>
    </w:rPr>
  </w:style>
  <w:style w:type="character" w:customStyle="1" w:styleId="Headline1Zchn">
    <w:name w:val="Headline 1 Zchn"/>
    <w:link w:val="Headline1"/>
    <w:rPr>
      <w:rFonts w:ascii="Frutiger 45 Light" w:hAnsi="Frutiger 45 Light"/>
      <w:b/>
      <w:sz w:val="24"/>
      <w:szCs w:val="18"/>
      <w:lang w:val="de-CH" w:eastAsia="en-GB"/>
    </w:rPr>
  </w:style>
  <w:style w:type="character" w:styleId="Funotenzeichen">
    <w:name w:val="footnote reference"/>
    <w:uiPriority w:val="99"/>
    <w:semiHidden/>
    <w:unhideWhenUsed/>
    <w:rPr>
      <w:vertAlign w:val="superscript"/>
    </w:rPr>
  </w:style>
  <w:style w:type="character" w:customStyle="1" w:styleId="polytonic">
    <w:name w:val="polytonic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berschrift1Zchn">
    <w:name w:val="Überschrift 1 Zchn"/>
    <w:link w:val="berschrift1"/>
    <w:uiPriority w:val="9"/>
    <w:rPr>
      <w:rFonts w:ascii="Times" w:hAnsi="Times"/>
      <w:b/>
      <w:bCs/>
      <w:kern w:val="36"/>
      <w:sz w:val="48"/>
      <w:szCs w:val="48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Pr>
      <w:rFonts w:ascii="Calibri" w:eastAsia="Cambria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Pr>
      <w:rFonts w:ascii="Calibri" w:eastAsia="Cambria" w:hAnsi="Calibri" w:cs="Times New Roman"/>
      <w:sz w:val="22"/>
      <w:szCs w:val="21"/>
      <w:lang w:eastAsia="en-US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4"/>
      <w:szCs w:val="24"/>
      <w:lang w:eastAsia="de-DE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e-AT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KeinLeerraum">
    <w:name w:val="No Spacing"/>
    <w:uiPriority w:val="1"/>
    <w:qFormat/>
    <w:rPr>
      <w:sz w:val="24"/>
      <w:szCs w:val="24"/>
    </w:rPr>
  </w:style>
  <w:style w:type="paragraph" w:customStyle="1" w:styleId="Pa2">
    <w:name w:val="Pa2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character" w:customStyle="1" w:styleId="A3">
    <w:name w:val="A3"/>
    <w:uiPriority w:val="99"/>
    <w:rPr>
      <w:rFonts w:cs="Fortescue Pro"/>
      <w:color w:val="000000"/>
      <w:sz w:val="13"/>
      <w:szCs w:val="13"/>
    </w:rPr>
  </w:style>
  <w:style w:type="character" w:customStyle="1" w:styleId="A4">
    <w:name w:val="A4"/>
    <w:uiPriority w:val="99"/>
    <w:rPr>
      <w:rFonts w:cs="Fortescue Pro"/>
      <w:color w:val="000000"/>
      <w:sz w:val="7"/>
      <w:szCs w:val="7"/>
    </w:rPr>
  </w:style>
  <w:style w:type="paragraph" w:customStyle="1" w:styleId="Pa3">
    <w:name w:val="Pa3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paragraph" w:customStyle="1" w:styleId="Pa5">
    <w:name w:val="Pa5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paragraph" w:customStyle="1" w:styleId="Pa4">
    <w:name w:val="Pa4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character" w:customStyle="1" w:styleId="A11">
    <w:name w:val="A11"/>
    <w:uiPriority w:val="99"/>
    <w:rPr>
      <w:rFonts w:cs="Fortescue Pro"/>
      <w:color w:val="000000"/>
      <w:sz w:val="14"/>
      <w:szCs w:val="14"/>
    </w:rPr>
  </w:style>
  <w:style w:type="paragraph" w:customStyle="1" w:styleId="Pa6">
    <w:name w:val="Pa6"/>
    <w:basedOn w:val="Standard"/>
    <w:next w:val="Standard"/>
    <w:uiPriority w:val="99"/>
    <w:pPr>
      <w:autoSpaceDE w:val="0"/>
      <w:autoSpaceDN w:val="0"/>
      <w:adjustRightInd w:val="0"/>
      <w:spacing w:line="261" w:lineRule="atLeast"/>
    </w:pPr>
    <w:rPr>
      <w:rFonts w:ascii="Apercu Pro" w:hAnsi="Apercu Pro"/>
      <w:lang w:val="de-AT"/>
    </w:rPr>
  </w:style>
  <w:style w:type="character" w:customStyle="1" w:styleId="A7">
    <w:name w:val="A7"/>
    <w:uiPriority w:val="99"/>
    <w:rPr>
      <w:rFonts w:cs="Fortescue Pro"/>
      <w:color w:val="000000"/>
      <w:sz w:val="20"/>
      <w:szCs w:val="20"/>
    </w:rPr>
  </w:style>
  <w:style w:type="character" w:customStyle="1" w:styleId="A14">
    <w:name w:val="A14"/>
    <w:uiPriority w:val="99"/>
    <w:rPr>
      <w:rFonts w:cs="Fortescue Pro"/>
      <w:color w:val="000000"/>
      <w:sz w:val="11"/>
      <w:szCs w:val="11"/>
    </w:rPr>
  </w:style>
  <w:style w:type="paragraph" w:customStyle="1" w:styleId="Pa13">
    <w:name w:val="Pa13"/>
    <w:basedOn w:val="Standard"/>
    <w:next w:val="Standard"/>
    <w:uiPriority w:val="99"/>
    <w:pPr>
      <w:autoSpaceDE w:val="0"/>
      <w:autoSpaceDN w:val="0"/>
      <w:adjustRightInd w:val="0"/>
      <w:spacing w:line="221" w:lineRule="atLeast"/>
    </w:pPr>
    <w:rPr>
      <w:rFonts w:ascii="Fortescue Pro" w:hAnsi="Fortescue Pro"/>
      <w:lang w:val="de-A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A12">
    <w:name w:val="A12"/>
    <w:uiPriority w:val="99"/>
    <w:rPr>
      <w:rFonts w:cs="Apercu Pro"/>
      <w:b/>
      <w:bCs/>
      <w:color w:val="000000"/>
      <w:sz w:val="21"/>
      <w:szCs w:val="21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customStyle="1" w:styleId="Pa11">
    <w:name w:val="Pa11"/>
    <w:basedOn w:val="Standard"/>
    <w:uiPriority w:val="99"/>
    <w:pPr>
      <w:autoSpaceDE w:val="0"/>
      <w:autoSpaceDN w:val="0"/>
      <w:spacing w:line="201" w:lineRule="atLeast"/>
    </w:pPr>
    <w:rPr>
      <w:rFonts w:ascii="Fortescue Pro" w:eastAsiaTheme="minorHAnsi" w:hAnsi="Fortescue Pro"/>
      <w:lang w:val="de-AT" w:eastAsia="de-AT"/>
    </w:rPr>
  </w:style>
  <w:style w:type="paragraph" w:customStyle="1" w:styleId="Pa12">
    <w:name w:val="Pa12"/>
    <w:basedOn w:val="Standard"/>
    <w:next w:val="Standard"/>
    <w:uiPriority w:val="99"/>
    <w:pPr>
      <w:autoSpaceDE w:val="0"/>
      <w:autoSpaceDN w:val="0"/>
      <w:adjustRightInd w:val="0"/>
      <w:spacing w:line="201" w:lineRule="atLeast"/>
    </w:pPr>
    <w:rPr>
      <w:rFonts w:ascii="Fortescue Pro" w:hAnsi="Fortescue Pro"/>
      <w:lang w:val="de-AT"/>
    </w:rPr>
  </w:style>
  <w:style w:type="character" w:customStyle="1" w:styleId="st1">
    <w:name w:val="st1"/>
    <w:basedOn w:val="Absatz-Standardschriftar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/>
    </w:rPr>
  </w:style>
  <w:style w:type="paragraph" w:customStyle="1" w:styleId="Headline1">
    <w:name w:val="Headline 1"/>
    <w:basedOn w:val="Standard"/>
    <w:link w:val="Headline1Zchn"/>
    <w:pPr>
      <w:spacing w:line="320" w:lineRule="exact"/>
    </w:pPr>
    <w:rPr>
      <w:rFonts w:ascii="Frutiger 45 Light" w:hAnsi="Frutiger 45 Light"/>
      <w:b/>
      <w:szCs w:val="18"/>
      <w:lang w:val="de-CH" w:eastAsia="en-GB"/>
    </w:rPr>
  </w:style>
  <w:style w:type="character" w:customStyle="1" w:styleId="Headline1Zchn">
    <w:name w:val="Headline 1 Zchn"/>
    <w:link w:val="Headline1"/>
    <w:rPr>
      <w:rFonts w:ascii="Frutiger 45 Light" w:hAnsi="Frutiger 45 Light"/>
      <w:b/>
      <w:sz w:val="24"/>
      <w:szCs w:val="18"/>
      <w:lang w:val="de-CH" w:eastAsia="en-GB"/>
    </w:rPr>
  </w:style>
  <w:style w:type="character" w:styleId="Funotenzeichen">
    <w:name w:val="footnote reference"/>
    <w:uiPriority w:val="99"/>
    <w:semiHidden/>
    <w:unhideWhenUsed/>
    <w:rPr>
      <w:vertAlign w:val="superscript"/>
    </w:rPr>
  </w:style>
  <w:style w:type="character" w:customStyle="1" w:styleId="polytonic">
    <w:name w:val="polytonic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7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68440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5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764002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98672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017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35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44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23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248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823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778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9495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2978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861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7335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720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76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63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80B36-249E-4CF8-8794-9DD16240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Lepka</dc:creator>
  <cp:lastModifiedBy>Sabine Krohn</cp:lastModifiedBy>
  <cp:revision>58</cp:revision>
  <cp:lastPrinted>2017-07-18T08:42:00Z</cp:lastPrinted>
  <dcterms:created xsi:type="dcterms:W3CDTF">2017-02-23T06:10:00Z</dcterms:created>
  <dcterms:modified xsi:type="dcterms:W3CDTF">2017-07-19T15:24:00Z</dcterms:modified>
</cp:coreProperties>
</file>