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AFC" w:rsidRDefault="00A43AFC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-Bold"/>
          <w:b/>
          <w:bCs/>
          <w:sz w:val="22"/>
        </w:rPr>
      </w:pPr>
    </w:p>
    <w:p w:rsidR="00A43AFC" w:rsidRDefault="000572D4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-Bold"/>
          <w:b/>
          <w:bCs/>
          <w:sz w:val="22"/>
        </w:rPr>
      </w:pPr>
      <w:r>
        <w:rPr>
          <w:rFonts w:ascii="Apercu Pro" w:hAnsi="Apercu Pro" w:cs="ApercuPro-Bold"/>
          <w:b/>
          <w:bCs/>
          <w:sz w:val="22"/>
        </w:rPr>
        <w:t>Ausstellung</w:t>
      </w:r>
      <w:bookmarkStart w:id="0" w:name="_GoBack"/>
      <w:bookmarkEnd w:id="0"/>
    </w:p>
    <w:p w:rsidR="00A43AFC" w:rsidRPr="00A43AFC" w:rsidRDefault="00A43AFC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-Bold"/>
          <w:b/>
          <w:bCs/>
          <w:sz w:val="28"/>
          <w:szCs w:val="28"/>
        </w:rPr>
      </w:pPr>
      <w:r w:rsidRPr="00A43AFC">
        <w:rPr>
          <w:rFonts w:ascii="Apercu Pro" w:hAnsi="Apercu Pro" w:cs="ApercuPro-Bold"/>
          <w:b/>
          <w:bCs/>
          <w:sz w:val="28"/>
          <w:szCs w:val="28"/>
        </w:rPr>
        <w:t>Meisterwerke. Residenzgalerie Salzburg</w:t>
      </w:r>
    </w:p>
    <w:p w:rsidR="005678DF" w:rsidRPr="00A31438" w:rsidRDefault="005678DF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-Bold"/>
          <w:b/>
          <w:bCs/>
          <w:sz w:val="22"/>
        </w:rPr>
      </w:pPr>
      <w:r w:rsidRPr="00A31438">
        <w:rPr>
          <w:rFonts w:ascii="Apercu Pro" w:hAnsi="Apercu Pro" w:cs="ApercuPro-Bold"/>
          <w:b/>
          <w:bCs/>
          <w:sz w:val="22"/>
        </w:rPr>
        <w:t>Abbildungsverzeichnis und Copyright</w:t>
      </w:r>
    </w:p>
    <w:p w:rsidR="00A43AFC" w:rsidRDefault="00A43AFC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</w:p>
    <w:p w:rsidR="00A43AFC" w:rsidRDefault="00A43AFC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</w:p>
    <w:p w:rsidR="005678DF" w:rsidRPr="00A31438" w:rsidRDefault="005678DF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  <w:r w:rsidRPr="00A31438">
        <w:rPr>
          <w:rFonts w:ascii="Apercu Pro" w:hAnsi="Apercu Pro" w:cs="ApercuPro"/>
          <w:sz w:val="22"/>
        </w:rPr>
        <w:t>Jan Davidsz. de Heem (1606–1683/84), Stillleben, Frühstück mit Champagnerglas und Pfeife, Residenzgalerie Salzburg, Inv.-Nr. 562, © 2022 RGS/Ghezzi</w:t>
      </w:r>
    </w:p>
    <w:p w:rsidR="005678DF" w:rsidRPr="00A31438" w:rsidRDefault="005678DF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</w:p>
    <w:p w:rsidR="005678DF" w:rsidRPr="00A31438" w:rsidRDefault="005678DF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  <w:r w:rsidRPr="00A31438">
        <w:rPr>
          <w:rFonts w:ascii="Apercu Pro" w:hAnsi="Apercu Pro" w:cs="ApercuPro"/>
          <w:sz w:val="22"/>
        </w:rPr>
        <w:t>Jan van Goyen (1596–1656), Bauernhöfe mit Heustock, Residenzgalerie Salzburg, Inv.-Nr. 427, © 2022 RGS/Ghezzi</w:t>
      </w:r>
    </w:p>
    <w:p w:rsidR="005678DF" w:rsidRPr="00A31438" w:rsidRDefault="005678DF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</w:p>
    <w:p w:rsidR="005678DF" w:rsidRPr="00A31438" w:rsidRDefault="005678DF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  <w:r w:rsidRPr="00A31438">
        <w:rPr>
          <w:rFonts w:ascii="Apercu Pro" w:hAnsi="Apercu Pro" w:cs="ApercuPro"/>
          <w:sz w:val="22"/>
        </w:rPr>
        <w:t>Harmensz. van Rijn Rembrandt (1606–1669), Betende alte Frau, Residenzgalerie Salzburg, Inv.-Nr. 549, © 2022 RGS/Ghezzi</w:t>
      </w:r>
    </w:p>
    <w:p w:rsidR="005678DF" w:rsidRPr="00A31438" w:rsidRDefault="005678DF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</w:p>
    <w:p w:rsidR="005678DF" w:rsidRPr="00A31438" w:rsidRDefault="005678DF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  <w:r w:rsidRPr="00A31438">
        <w:rPr>
          <w:rFonts w:ascii="Apercu Pro" w:hAnsi="Apercu Pro" w:cs="ApercuPro"/>
          <w:sz w:val="22"/>
        </w:rPr>
        <w:t>Johann Michael Rottmayr (1654-1730), Beweinung Christi, Residenzgalerie Salzburg, Inv.-Nr. 112, © 2022 RGS/Ghezzi</w:t>
      </w:r>
    </w:p>
    <w:p w:rsidR="005678DF" w:rsidRPr="00A31438" w:rsidRDefault="005678DF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</w:p>
    <w:p w:rsidR="005678DF" w:rsidRPr="00A31438" w:rsidRDefault="005678DF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  <w:r w:rsidRPr="00A31438">
        <w:rPr>
          <w:rFonts w:ascii="Apercu Pro" w:hAnsi="Apercu Pro" w:cs="ApercuPro"/>
          <w:sz w:val="22"/>
        </w:rPr>
        <w:t>Francesco Solimena (1657–1747), Bathseba im Bade, Residenzgalerie Salzburg, Inv.-Nr. 197, © 2022 RGS/Ghezzi</w:t>
      </w:r>
    </w:p>
    <w:p w:rsidR="005678DF" w:rsidRPr="00A31438" w:rsidRDefault="005678DF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</w:p>
    <w:p w:rsidR="005678DF" w:rsidRPr="00A31438" w:rsidRDefault="005678DF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  <w:r w:rsidRPr="00A31438">
        <w:rPr>
          <w:rFonts w:ascii="Apercu Pro" w:hAnsi="Apercu Pro" w:cs="ApercuPro"/>
          <w:sz w:val="22"/>
        </w:rPr>
        <w:t>Ferdinand Georg Waldmüller (1793–1865), Kinder im Fenster, Residenzgalerie Salzburg, Inv.-Nr. 335, © 2022 RGS/Ghezzi</w:t>
      </w:r>
    </w:p>
    <w:p w:rsidR="005678DF" w:rsidRPr="00A31438" w:rsidRDefault="005678DF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</w:p>
    <w:p w:rsidR="005678DF" w:rsidRPr="00A31438" w:rsidRDefault="005678DF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  <w:r w:rsidRPr="00A31438">
        <w:rPr>
          <w:rFonts w:ascii="Apercu Pro" w:hAnsi="Apercu Pro" w:cs="ApercuPro-Bold"/>
          <w:bCs/>
          <w:sz w:val="22"/>
        </w:rPr>
        <w:t xml:space="preserve">Gregorio Fidanza (1759–1823), Mondlandschaft mit Vesuv-Eruption, Residenzgalerie Salzburg, Inv.-Nr. 644, </w:t>
      </w:r>
      <w:r w:rsidRPr="00A31438">
        <w:rPr>
          <w:rFonts w:ascii="Apercu Pro" w:hAnsi="Apercu Pro" w:cs="ApercuPro"/>
          <w:sz w:val="22"/>
        </w:rPr>
        <w:t>© 2022 RGS/Ghezzi</w:t>
      </w:r>
    </w:p>
    <w:p w:rsidR="005678DF" w:rsidRPr="00A31438" w:rsidRDefault="005678DF" w:rsidP="005678DF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</w:p>
    <w:p w:rsidR="006A0A20" w:rsidRDefault="006A0A20"/>
    <w:sectPr w:rsidR="006A0A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ercu Pro">
    <w:panose1 w:val="020B0503050601040103"/>
    <w:charset w:val="00"/>
    <w:family w:val="swiss"/>
    <w:notTrueType/>
    <w:pitch w:val="variable"/>
    <w:sig w:usb0="000002C7" w:usb1="00000001" w:usb2="00000000" w:usb3="00000000" w:csb0="0000009F" w:csb1="00000000"/>
  </w:font>
  <w:font w:name="ApercuPro-Bold">
    <w:panose1 w:val="020B0803050601040103"/>
    <w:charset w:val="00"/>
    <w:family w:val="swiss"/>
    <w:notTrueType/>
    <w:pitch w:val="default"/>
    <w:sig w:usb0="00000003" w:usb1="00000000" w:usb2="00000000" w:usb3="00000000" w:csb0="00000001" w:csb1="00000000"/>
  </w:font>
  <w:font w:name="ApercuPro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241"/>
    <w:rsid w:val="000572D4"/>
    <w:rsid w:val="002C6ED7"/>
    <w:rsid w:val="005678DF"/>
    <w:rsid w:val="006A0A20"/>
    <w:rsid w:val="00724C04"/>
    <w:rsid w:val="00A43AFC"/>
    <w:rsid w:val="00A9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AEBCB"/>
  <w15:chartTrackingRefBased/>
  <w15:docId w15:val="{1C087EF7-ED16-4ABF-8373-43396FA12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678DF"/>
    <w:pPr>
      <w:spacing w:after="0" w:line="360" w:lineRule="atLeast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C6ED7"/>
    <w:pPr>
      <w:keepNext/>
      <w:keepLines/>
      <w:spacing w:before="240" w:line="260" w:lineRule="atLeast"/>
      <w:outlineLvl w:val="0"/>
    </w:pPr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24C04"/>
    <w:pPr>
      <w:keepNext/>
      <w:keepLines/>
      <w:spacing w:before="40" w:line="260" w:lineRule="atLeast"/>
      <w:outlineLvl w:val="1"/>
    </w:pPr>
    <w:rPr>
      <w:rFonts w:ascii="Trebuchet MS" w:eastAsiaTheme="majorEastAsia" w:hAnsi="Trebuchet MS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24C04"/>
    <w:pPr>
      <w:keepNext/>
      <w:keepLines/>
      <w:spacing w:before="40" w:line="260" w:lineRule="atLeast"/>
      <w:outlineLvl w:val="2"/>
    </w:pPr>
    <w:rPr>
      <w:rFonts w:ascii="Trebuchet MS" w:eastAsiaTheme="majorEastAsia" w:hAnsi="Trebuchet MS" w:cstheme="majorBidi"/>
      <w:color w:val="1F4D78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C6ED7"/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4C04"/>
    <w:rPr>
      <w:rFonts w:ascii="Trebuchet MS" w:eastAsiaTheme="majorEastAsia" w:hAnsi="Trebuchet MS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4C04"/>
    <w:rPr>
      <w:rFonts w:ascii="Trebuchet MS" w:eastAsiaTheme="majorEastAsia" w:hAnsi="Trebuchet MS" w:cstheme="majorBidi"/>
      <w:color w:val="1F4D78" w:themeColor="accent1" w:themeShade="7F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724C04"/>
    <w:pPr>
      <w:spacing w:line="240" w:lineRule="auto"/>
      <w:contextualSpacing/>
    </w:pPr>
    <w:rPr>
      <w:rFonts w:ascii="Trebuchet MS" w:eastAsiaTheme="majorEastAsia" w:hAnsi="Trebuchet MS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24C04"/>
    <w:rPr>
      <w:rFonts w:ascii="Trebuchet MS" w:eastAsiaTheme="majorEastAsia" w:hAnsi="Trebuchet MS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24C04"/>
    <w:pPr>
      <w:numPr>
        <w:ilvl w:val="1"/>
      </w:numPr>
      <w:spacing w:after="160" w:line="260" w:lineRule="atLeast"/>
    </w:pPr>
    <w:rPr>
      <w:rFonts w:ascii="Trebuchet MS" w:eastAsiaTheme="minorEastAsia" w:hAnsi="Trebuchet MS"/>
      <w:color w:val="5A5A5A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24C04"/>
    <w:rPr>
      <w:rFonts w:ascii="Trebuchet MS" w:eastAsiaTheme="minorEastAsia" w:hAnsi="Trebuchet MS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809</Characters>
  <Application>Microsoft Office Word</Application>
  <DocSecurity>0</DocSecurity>
  <Lines>6</Lines>
  <Paragraphs>1</Paragraphs>
  <ScaleCrop>false</ScaleCrop>
  <Company>Land Salzburg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Krohn Sabine</dc:creator>
  <cp:keywords/>
  <dc:description/>
  <cp:lastModifiedBy>Krohn Sabine</cp:lastModifiedBy>
  <cp:revision>4</cp:revision>
  <dcterms:created xsi:type="dcterms:W3CDTF">2022-02-17T08:37:00Z</dcterms:created>
  <dcterms:modified xsi:type="dcterms:W3CDTF">2022-02-22T14:48:00Z</dcterms:modified>
</cp:coreProperties>
</file>