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42D" w:rsidRPr="00592C91" w:rsidRDefault="00C41134" w:rsidP="00A91842">
      <w:pPr>
        <w:rPr>
          <w:rFonts w:ascii="Apercu Pro" w:hAnsi="Apercu Pro"/>
          <w:b/>
          <w:sz w:val="32"/>
          <w:szCs w:val="32"/>
          <w:u w:val="single"/>
        </w:rPr>
      </w:pPr>
      <w:r w:rsidRPr="00592C91">
        <w:rPr>
          <w:rFonts w:ascii="Apercu Pro" w:hAnsi="Apercu Pro"/>
          <w:b/>
          <w:sz w:val="32"/>
          <w:szCs w:val="32"/>
          <w:u w:val="single"/>
        </w:rPr>
        <w:t>Presseinformation:</w:t>
      </w:r>
    </w:p>
    <w:p w:rsidR="00BB24A7" w:rsidRPr="00592C91" w:rsidRDefault="00BB24A7" w:rsidP="00BB24A7">
      <w:pPr>
        <w:spacing w:after="150" w:line="240" w:lineRule="auto"/>
        <w:rPr>
          <w:rFonts w:ascii="Apercu Pro" w:eastAsia="Times New Roman" w:hAnsi="Apercu Pro" w:cs="Times New Roman"/>
          <w:sz w:val="24"/>
          <w:szCs w:val="24"/>
          <w:lang w:eastAsia="de-AT"/>
        </w:rPr>
      </w:pPr>
      <w:r w:rsidRPr="00592C91">
        <w:rPr>
          <w:rFonts w:ascii="Apercu Pro" w:eastAsia="Times New Roman" w:hAnsi="Apercu Pro" w:cs="Times New Roman"/>
          <w:sz w:val="24"/>
          <w:szCs w:val="24"/>
          <w:lang w:eastAsia="de-AT"/>
        </w:rPr>
        <w:t> </w:t>
      </w:r>
    </w:p>
    <w:p w:rsidR="005810B9" w:rsidRPr="00592C91" w:rsidRDefault="005810B9" w:rsidP="00905C94">
      <w:pPr>
        <w:spacing w:line="276" w:lineRule="auto"/>
        <w:rPr>
          <w:rFonts w:ascii="Apercu Pro" w:hAnsi="Apercu Pro"/>
          <w:b/>
        </w:rPr>
      </w:pPr>
      <w:r w:rsidRPr="00592C91">
        <w:rPr>
          <w:rFonts w:ascii="Apercu Pro" w:hAnsi="Apercu Pro"/>
          <w:b/>
        </w:rPr>
        <w:t xml:space="preserve">Die Residenzgalerie präsentiert zwei Porträts von Peter Krafft, die das Ehepaar </w:t>
      </w:r>
      <w:proofErr w:type="spellStart"/>
      <w:r w:rsidRPr="00592C91">
        <w:rPr>
          <w:rFonts w:ascii="Apercu Pro" w:hAnsi="Apercu Pro"/>
          <w:b/>
        </w:rPr>
        <w:t>Artaria</w:t>
      </w:r>
      <w:proofErr w:type="spellEnd"/>
      <w:r w:rsidRPr="00592C91">
        <w:rPr>
          <w:rFonts w:ascii="Apercu Pro" w:hAnsi="Apercu Pro"/>
          <w:b/>
        </w:rPr>
        <w:t xml:space="preserve"> zeigen – eine Schenkung von Universitätsprofessor Doktor Edgar </w:t>
      </w:r>
      <w:proofErr w:type="spellStart"/>
      <w:r w:rsidRPr="00592C91">
        <w:rPr>
          <w:rFonts w:ascii="Apercu Pro" w:hAnsi="Apercu Pro"/>
          <w:b/>
        </w:rPr>
        <w:t>Hertlein</w:t>
      </w:r>
      <w:proofErr w:type="spellEnd"/>
      <w:r w:rsidRPr="00592C91">
        <w:rPr>
          <w:rFonts w:ascii="Apercu Pro" w:hAnsi="Apercu Pro"/>
          <w:b/>
        </w:rPr>
        <w:t>. Hierbei handelt es sich um einen hochkarätigen Zuwachs der den Sammlungsbereich der österreichischen Malerei des 19. Jahrhunderts in wunderbarer Weise ergänzt.</w:t>
      </w:r>
    </w:p>
    <w:p w:rsidR="00ED70B9" w:rsidRPr="00592C91" w:rsidRDefault="00ED70B9" w:rsidP="00905C94">
      <w:pPr>
        <w:spacing w:line="276" w:lineRule="auto"/>
        <w:rPr>
          <w:rFonts w:ascii="Apercu Pro" w:hAnsi="Apercu Pro"/>
          <w:i/>
        </w:rPr>
      </w:pPr>
    </w:p>
    <w:p w:rsidR="00ED70B9" w:rsidRPr="00592C91" w:rsidRDefault="00ED70B9" w:rsidP="00905C94">
      <w:pPr>
        <w:spacing w:line="276" w:lineRule="auto"/>
        <w:rPr>
          <w:rFonts w:ascii="Apercu Pro" w:hAnsi="Apercu Pro"/>
        </w:rPr>
      </w:pPr>
      <w:r w:rsidRPr="00592C91">
        <w:rPr>
          <w:rFonts w:ascii="Apercu Pro" w:hAnsi="Apercu Pro"/>
          <w:i/>
        </w:rPr>
        <w:t xml:space="preserve">„Die Schenkung an die Residenzgalerie ist ein bemerkenswerter Akt eines bürgerlichen Mäzenatentums, vor dem ich großen Respekt habe. Kraffts Gemälde sind eine aussagekräftige Erweiterung der Sammlungsbestände der Residenzgalerie. Die direkte Herkunft aus der Familie der Dargestellten bezeugt die Bedeutung der Bilder für die Familie </w:t>
      </w:r>
      <w:proofErr w:type="spellStart"/>
      <w:r w:rsidRPr="00592C91">
        <w:rPr>
          <w:rFonts w:ascii="Apercu Pro" w:hAnsi="Apercu Pro"/>
          <w:i/>
        </w:rPr>
        <w:t>Artaria</w:t>
      </w:r>
      <w:proofErr w:type="spellEnd"/>
      <w:r w:rsidRPr="00592C91">
        <w:rPr>
          <w:rFonts w:ascii="Apercu Pro" w:hAnsi="Apercu Pro"/>
          <w:i/>
        </w:rPr>
        <w:t>, die diese über 200 Jahre in ihrem Besitz hielt.“</w:t>
      </w:r>
      <w:r w:rsidRPr="00592C91">
        <w:rPr>
          <w:rFonts w:ascii="Apercu Pro" w:hAnsi="Apercu Pro"/>
        </w:rPr>
        <w:t>, so Direktorin Andrea Stockhammer.</w:t>
      </w:r>
    </w:p>
    <w:p w:rsidR="00ED70B9" w:rsidRPr="00592C91" w:rsidRDefault="00ED70B9" w:rsidP="00905C94">
      <w:pPr>
        <w:spacing w:line="276" w:lineRule="auto"/>
        <w:rPr>
          <w:rFonts w:ascii="Apercu Pro" w:hAnsi="Apercu Pro"/>
        </w:rPr>
      </w:pPr>
    </w:p>
    <w:p w:rsidR="00ED70B9" w:rsidRPr="00592C91" w:rsidRDefault="005810B9" w:rsidP="00905C94">
      <w:pPr>
        <w:spacing w:line="276" w:lineRule="auto"/>
        <w:rPr>
          <w:rFonts w:ascii="Apercu Pro" w:hAnsi="Apercu Pro"/>
        </w:rPr>
      </w:pPr>
      <w:r w:rsidRPr="00592C91">
        <w:rPr>
          <w:rFonts w:ascii="Apercu Pro" w:hAnsi="Apercu Pro"/>
        </w:rPr>
        <w:t xml:space="preserve">Die beiden Porträts des Ehepaares </w:t>
      </w:r>
      <w:r w:rsidRPr="00592C91">
        <w:rPr>
          <w:rFonts w:ascii="Apercu Pro" w:hAnsi="Apercu Pro"/>
          <w:i/>
          <w:iCs/>
        </w:rPr>
        <w:t xml:space="preserve">Domenico (II) </w:t>
      </w:r>
      <w:proofErr w:type="spellStart"/>
      <w:r w:rsidRPr="00592C91">
        <w:rPr>
          <w:rFonts w:ascii="Apercu Pro" w:hAnsi="Apercu Pro"/>
          <w:i/>
          <w:iCs/>
        </w:rPr>
        <w:t>Artaria</w:t>
      </w:r>
      <w:proofErr w:type="spellEnd"/>
      <w:r w:rsidRPr="00592C91">
        <w:rPr>
          <w:rFonts w:ascii="Apercu Pro" w:hAnsi="Apercu Pro"/>
          <w:i/>
          <w:iCs/>
        </w:rPr>
        <w:t xml:space="preserve"> </w:t>
      </w:r>
      <w:r w:rsidRPr="00592C91">
        <w:rPr>
          <w:rFonts w:ascii="Apercu Pro" w:hAnsi="Apercu Pro"/>
        </w:rPr>
        <w:t xml:space="preserve">und </w:t>
      </w:r>
      <w:proofErr w:type="gramStart"/>
      <w:r w:rsidRPr="00592C91">
        <w:rPr>
          <w:rFonts w:ascii="Apercu Pro" w:hAnsi="Apercu Pro"/>
          <w:i/>
          <w:iCs/>
        </w:rPr>
        <w:t>Anna Maria</w:t>
      </w:r>
      <w:proofErr w:type="gramEnd"/>
      <w:r w:rsidRPr="00592C91">
        <w:rPr>
          <w:rFonts w:ascii="Apercu Pro" w:hAnsi="Apercu Pro"/>
          <w:i/>
          <w:iCs/>
        </w:rPr>
        <w:t xml:space="preserve"> </w:t>
      </w:r>
      <w:proofErr w:type="spellStart"/>
      <w:r w:rsidRPr="00592C91">
        <w:rPr>
          <w:rFonts w:ascii="Apercu Pro" w:hAnsi="Apercu Pro"/>
          <w:i/>
          <w:iCs/>
        </w:rPr>
        <w:t>Artaria</w:t>
      </w:r>
      <w:proofErr w:type="spellEnd"/>
      <w:r w:rsidRPr="00592C91">
        <w:rPr>
          <w:rFonts w:ascii="Apercu Pro" w:hAnsi="Apercu Pro"/>
          <w:i/>
          <w:iCs/>
        </w:rPr>
        <w:t xml:space="preserve"> </w:t>
      </w:r>
      <w:r w:rsidRPr="00592C91">
        <w:rPr>
          <w:rFonts w:ascii="Apercu Pro" w:hAnsi="Apercu Pro"/>
        </w:rPr>
        <w:t>von Peter Krafft</w:t>
      </w:r>
      <w:r w:rsidRPr="00592C91">
        <w:rPr>
          <w:rFonts w:ascii="Apercu Pro" w:hAnsi="Apercu Pro"/>
          <w:i/>
          <w:iCs/>
        </w:rPr>
        <w:t xml:space="preserve"> </w:t>
      </w:r>
      <w:r w:rsidRPr="00592C91">
        <w:rPr>
          <w:rFonts w:ascii="Apercu Pro" w:hAnsi="Apercu Pro"/>
        </w:rPr>
        <w:t>wurden am 22. März 2024 als Schenkung</w:t>
      </w:r>
      <w:r w:rsidRPr="00592C91">
        <w:rPr>
          <w:rFonts w:ascii="Apercu Pro" w:hAnsi="Apercu Pro"/>
          <w:i/>
          <w:iCs/>
        </w:rPr>
        <w:t xml:space="preserve"> </w:t>
      </w:r>
      <w:r w:rsidRPr="00592C91">
        <w:rPr>
          <w:rFonts w:ascii="Apercu Pro" w:hAnsi="Apercu Pro"/>
        </w:rPr>
        <w:t>von</w:t>
      </w:r>
      <w:r w:rsidRPr="00592C91">
        <w:rPr>
          <w:rFonts w:ascii="Apercu Pro" w:hAnsi="Apercu Pro"/>
          <w:i/>
          <w:iCs/>
        </w:rPr>
        <w:t xml:space="preserve"> </w:t>
      </w:r>
      <w:r w:rsidRPr="00592C91">
        <w:rPr>
          <w:rFonts w:ascii="Apercu Pro" w:hAnsi="Apercu Pro"/>
        </w:rPr>
        <w:t>Edgar</w:t>
      </w:r>
      <w:r w:rsidRPr="00592C91">
        <w:rPr>
          <w:rFonts w:ascii="Apercu Pro" w:hAnsi="Apercu Pro"/>
          <w:i/>
          <w:iCs/>
        </w:rPr>
        <w:t xml:space="preserve"> </w:t>
      </w:r>
      <w:proofErr w:type="spellStart"/>
      <w:r w:rsidRPr="00592C91">
        <w:rPr>
          <w:rFonts w:ascii="Apercu Pro" w:hAnsi="Apercu Pro"/>
        </w:rPr>
        <w:t>Hertlein</w:t>
      </w:r>
      <w:proofErr w:type="spellEnd"/>
      <w:r w:rsidRPr="00592C91">
        <w:rPr>
          <w:rFonts w:ascii="Apercu Pro" w:hAnsi="Apercu Pro"/>
        </w:rPr>
        <w:t xml:space="preserve"> (Kunsthistoriker) im Gedenken an seine Ehefrau der Residenzgalerie überlassen. Irmgard </w:t>
      </w:r>
      <w:proofErr w:type="spellStart"/>
      <w:r w:rsidRPr="00592C91">
        <w:rPr>
          <w:rFonts w:ascii="Apercu Pro" w:hAnsi="Apercu Pro"/>
        </w:rPr>
        <w:t>Hertlein</w:t>
      </w:r>
      <w:proofErr w:type="spellEnd"/>
      <w:r w:rsidRPr="00592C91">
        <w:rPr>
          <w:rFonts w:ascii="Apercu Pro" w:hAnsi="Apercu Pro"/>
        </w:rPr>
        <w:t xml:space="preserve"> war Fachärztin</w:t>
      </w:r>
      <w:r w:rsidRPr="00592C91">
        <w:rPr>
          <w:rFonts w:ascii="Apercu Pro" w:hAnsi="Apercu Pro"/>
          <w:i/>
          <w:iCs/>
        </w:rPr>
        <w:t xml:space="preserve"> </w:t>
      </w:r>
      <w:r w:rsidRPr="00592C91">
        <w:rPr>
          <w:rFonts w:ascii="Apercu Pro" w:hAnsi="Apercu Pro"/>
        </w:rPr>
        <w:t xml:space="preserve">für Kinderheilkunde, sie stammte väterlicherseits aus der Verlegerfamilie </w:t>
      </w:r>
      <w:proofErr w:type="spellStart"/>
      <w:r w:rsidRPr="00592C91">
        <w:rPr>
          <w:rFonts w:ascii="Apercu Pro" w:hAnsi="Apercu Pro"/>
        </w:rPr>
        <w:t>Artaria</w:t>
      </w:r>
      <w:proofErr w:type="spellEnd"/>
      <w:r w:rsidRPr="00592C91">
        <w:rPr>
          <w:rFonts w:ascii="Apercu Pro" w:hAnsi="Apercu Pro"/>
        </w:rPr>
        <w:t>.</w:t>
      </w:r>
    </w:p>
    <w:p w:rsidR="00ED70B9" w:rsidRPr="00592C91" w:rsidRDefault="00ED70B9" w:rsidP="00905C94">
      <w:pPr>
        <w:spacing w:line="276" w:lineRule="auto"/>
        <w:rPr>
          <w:rFonts w:ascii="Apercu Pro" w:hAnsi="Apercu Pro"/>
        </w:rPr>
      </w:pPr>
    </w:p>
    <w:p w:rsidR="00ED70B9" w:rsidRPr="00592C91" w:rsidRDefault="00AF0C3C" w:rsidP="00905C94">
      <w:pPr>
        <w:spacing w:line="276" w:lineRule="auto"/>
        <w:rPr>
          <w:rFonts w:ascii="Apercu Pro" w:hAnsi="Apercu Pro"/>
          <w:i/>
        </w:rPr>
      </w:pPr>
      <w:r w:rsidRPr="00592C91">
        <w:rPr>
          <w:rFonts w:ascii="Apercu Pro" w:hAnsi="Apercu Pro"/>
        </w:rPr>
        <w:t xml:space="preserve">Dazu </w:t>
      </w:r>
      <w:r w:rsidR="00ED70B9" w:rsidRPr="00592C91">
        <w:rPr>
          <w:rFonts w:ascii="Apercu Pro" w:hAnsi="Apercu Pro"/>
        </w:rPr>
        <w:t xml:space="preserve">Landeshauptmann Wilfried </w:t>
      </w:r>
      <w:proofErr w:type="spellStart"/>
      <w:r w:rsidR="00ED70B9" w:rsidRPr="00592C91">
        <w:rPr>
          <w:rFonts w:ascii="Apercu Pro" w:hAnsi="Apercu Pro"/>
        </w:rPr>
        <w:t>Haslauer</w:t>
      </w:r>
      <w:proofErr w:type="spellEnd"/>
      <w:r w:rsidR="00ED70B9" w:rsidRPr="00592C91">
        <w:rPr>
          <w:rFonts w:ascii="Apercu Pro" w:hAnsi="Apercu Pro"/>
        </w:rPr>
        <w:t xml:space="preserve">: </w:t>
      </w:r>
      <w:r w:rsidR="00ED70B9" w:rsidRPr="00592C91">
        <w:rPr>
          <w:rFonts w:ascii="Apercu Pro" w:hAnsi="Apercu Pro"/>
          <w:i/>
        </w:rPr>
        <w:t xml:space="preserve">„Ich bedanke mich herzlich bei Herrn Dr. Edgar </w:t>
      </w:r>
      <w:proofErr w:type="spellStart"/>
      <w:r w:rsidR="00ED70B9" w:rsidRPr="00592C91">
        <w:rPr>
          <w:rFonts w:ascii="Apercu Pro" w:hAnsi="Apercu Pro"/>
          <w:i/>
        </w:rPr>
        <w:t>Hertlein</w:t>
      </w:r>
      <w:proofErr w:type="spellEnd"/>
      <w:r w:rsidR="00ED70B9" w:rsidRPr="00592C91">
        <w:rPr>
          <w:rFonts w:ascii="Apercu Pro" w:hAnsi="Apercu Pro"/>
          <w:i/>
        </w:rPr>
        <w:t xml:space="preserve">, der dem Land Salzburg in </w:t>
      </w:r>
      <w:proofErr w:type="spellStart"/>
      <w:r w:rsidR="00ED70B9" w:rsidRPr="00592C91">
        <w:rPr>
          <w:rFonts w:ascii="Apercu Pro" w:hAnsi="Apercu Pro"/>
          <w:i/>
        </w:rPr>
        <w:t>memoriam</w:t>
      </w:r>
      <w:proofErr w:type="spellEnd"/>
      <w:r w:rsidR="00ED70B9" w:rsidRPr="00592C91">
        <w:rPr>
          <w:rFonts w:ascii="Apercu Pro" w:hAnsi="Apercu Pro"/>
          <w:i/>
        </w:rPr>
        <w:t xml:space="preserve"> seiner verstorbenen Gattin Dr. Irmgard </w:t>
      </w:r>
      <w:proofErr w:type="spellStart"/>
      <w:r w:rsidR="00ED70B9" w:rsidRPr="00592C91">
        <w:rPr>
          <w:rFonts w:ascii="Apercu Pro" w:hAnsi="Apercu Pro"/>
          <w:i/>
        </w:rPr>
        <w:t>Hertlein</w:t>
      </w:r>
      <w:proofErr w:type="spellEnd"/>
      <w:r w:rsidR="00ED70B9" w:rsidRPr="00592C91">
        <w:rPr>
          <w:rFonts w:ascii="Apercu Pro" w:hAnsi="Apercu Pro"/>
          <w:i/>
        </w:rPr>
        <w:t xml:space="preserve"> zwei so hochkarätige Gemälde überträgt. Gerne hat das Land Salzburg in diesem Zusammenhang die Aufgabe übernommen, die </w:t>
      </w:r>
      <w:r w:rsidR="00CE61D4" w:rsidRPr="00592C91">
        <w:rPr>
          <w:rFonts w:ascii="Apercu Pro" w:hAnsi="Apercu Pro"/>
          <w:i/>
        </w:rPr>
        <w:t>Bilder</w:t>
      </w:r>
      <w:r w:rsidR="00ED70B9" w:rsidRPr="00592C91">
        <w:rPr>
          <w:rFonts w:ascii="Apercu Pro" w:hAnsi="Apercu Pro"/>
          <w:i/>
        </w:rPr>
        <w:t xml:space="preserve"> restaurieren zu lassen.</w:t>
      </w:r>
      <w:r w:rsidR="00F5537D" w:rsidRPr="00592C91">
        <w:rPr>
          <w:rFonts w:ascii="Apercu Pro" w:hAnsi="Apercu Pro"/>
          <w:i/>
        </w:rPr>
        <w:t xml:space="preserve"> Die Restaurierung hat</w:t>
      </w:r>
      <w:r w:rsidR="006B1A09" w:rsidRPr="00592C91">
        <w:rPr>
          <w:rFonts w:ascii="Apercu Pro" w:hAnsi="Apercu Pro"/>
          <w:i/>
        </w:rPr>
        <w:t xml:space="preserve"> wissenschaftlich interessante Erkenntnisse gebracht, </w:t>
      </w:r>
      <w:r w:rsidR="00F5537D" w:rsidRPr="00592C91">
        <w:rPr>
          <w:rFonts w:ascii="Apercu Pro" w:hAnsi="Apercu Pro"/>
          <w:i/>
        </w:rPr>
        <w:t xml:space="preserve">die einen </w:t>
      </w:r>
      <w:r w:rsidR="006B1A09" w:rsidRPr="00592C91">
        <w:rPr>
          <w:rFonts w:ascii="Apercu Pro" w:hAnsi="Apercu Pro"/>
          <w:i/>
        </w:rPr>
        <w:t>Beitrag zur Vervollständigung unseres Wissens zur österreichischen Porträtmalerei des 19. Jahrhunderts</w:t>
      </w:r>
      <w:r w:rsidR="00637A24" w:rsidRPr="00592C91">
        <w:rPr>
          <w:rFonts w:ascii="Apercu Pro" w:hAnsi="Apercu Pro"/>
          <w:i/>
        </w:rPr>
        <w:t xml:space="preserve"> leisten</w:t>
      </w:r>
      <w:r w:rsidR="006B1A09" w:rsidRPr="00592C91">
        <w:rPr>
          <w:rFonts w:ascii="Apercu Pro" w:hAnsi="Apercu Pro"/>
          <w:i/>
        </w:rPr>
        <w:t xml:space="preserve">. </w:t>
      </w:r>
      <w:r w:rsidR="00ED70B9" w:rsidRPr="00592C91">
        <w:rPr>
          <w:rFonts w:ascii="Apercu Pro" w:hAnsi="Apercu Pro"/>
          <w:i/>
        </w:rPr>
        <w:t>Ich bin überzeugt, dass diese Kunstwerke die Sammlung der Residenzgalerie wunderschön ergänzen und auf großes Interesse der Öffentlichkeit stoßen werden.“</w:t>
      </w:r>
    </w:p>
    <w:p w:rsidR="00ED70B9" w:rsidRPr="00592C91" w:rsidRDefault="00ED70B9" w:rsidP="00905C94">
      <w:pPr>
        <w:spacing w:line="276" w:lineRule="auto"/>
        <w:rPr>
          <w:rFonts w:ascii="Apercu Pro" w:hAnsi="Apercu Pro"/>
        </w:rPr>
      </w:pPr>
    </w:p>
    <w:p w:rsidR="005810B9" w:rsidRPr="00592C91" w:rsidRDefault="005810B9" w:rsidP="00905C94">
      <w:pPr>
        <w:spacing w:line="276" w:lineRule="auto"/>
        <w:rPr>
          <w:rFonts w:ascii="Apercu Pro" w:hAnsi="Apercu Pro"/>
        </w:rPr>
      </w:pPr>
      <w:r w:rsidRPr="00592C91">
        <w:rPr>
          <w:rFonts w:ascii="Apercu Pro" w:hAnsi="Apercu Pro"/>
        </w:rPr>
        <w:t>Nach ihrer Restaurierung werden die beiden</w:t>
      </w:r>
      <w:r w:rsidRPr="00592C91">
        <w:rPr>
          <w:rFonts w:ascii="Apercu Pro" w:hAnsi="Apercu Pro"/>
          <w:i/>
          <w:iCs/>
        </w:rPr>
        <w:t xml:space="preserve"> </w:t>
      </w:r>
      <w:r w:rsidRPr="00592C91">
        <w:rPr>
          <w:rFonts w:ascii="Apercu Pro" w:hAnsi="Apercu Pro"/>
        </w:rPr>
        <w:t>Werke</w:t>
      </w:r>
      <w:r w:rsidRPr="00592C91">
        <w:rPr>
          <w:rFonts w:ascii="Apercu Pro" w:hAnsi="Apercu Pro"/>
          <w:i/>
          <w:iCs/>
        </w:rPr>
        <w:t xml:space="preserve"> </w:t>
      </w:r>
      <w:r w:rsidRPr="00592C91">
        <w:rPr>
          <w:rFonts w:ascii="Apercu Pro" w:hAnsi="Apercu Pro"/>
        </w:rPr>
        <w:t>nun erstmals öffentlich gezeigt. Kraffts Signaturen</w:t>
      </w:r>
      <w:r w:rsidRPr="00592C91">
        <w:rPr>
          <w:rFonts w:ascii="Apercu Pro" w:hAnsi="Apercu Pro"/>
          <w:i/>
          <w:iCs/>
        </w:rPr>
        <w:t xml:space="preserve"> </w:t>
      </w:r>
      <w:r w:rsidRPr="00592C91">
        <w:rPr>
          <w:rFonts w:ascii="Apercu Pro" w:hAnsi="Apercu Pro"/>
        </w:rPr>
        <w:t xml:space="preserve">und Datierungen wurden im Zuge der </w:t>
      </w:r>
      <w:proofErr w:type="spellStart"/>
      <w:r w:rsidRPr="00592C91">
        <w:rPr>
          <w:rFonts w:ascii="Apercu Pro" w:hAnsi="Apercu Pro"/>
        </w:rPr>
        <w:t>restauratorischen</w:t>
      </w:r>
      <w:proofErr w:type="spellEnd"/>
      <w:r w:rsidRPr="00592C91">
        <w:rPr>
          <w:rFonts w:ascii="Apercu Pro" w:hAnsi="Apercu Pro"/>
          <w:i/>
          <w:iCs/>
        </w:rPr>
        <w:t xml:space="preserve"> </w:t>
      </w:r>
      <w:r w:rsidRPr="00592C91">
        <w:rPr>
          <w:rFonts w:ascii="Apercu Pro" w:hAnsi="Apercu Pro"/>
        </w:rPr>
        <w:t>Maßnahmen wieder gut lesbar.</w:t>
      </w:r>
      <w:r w:rsidRPr="00592C91">
        <w:rPr>
          <w:rFonts w:ascii="Apercu Pro" w:hAnsi="Apercu Pro"/>
          <w:i/>
          <w:iCs/>
        </w:rPr>
        <w:t xml:space="preserve"> </w:t>
      </w:r>
      <w:r w:rsidRPr="00592C91">
        <w:rPr>
          <w:rFonts w:ascii="Apercu Pro" w:hAnsi="Apercu Pro"/>
        </w:rPr>
        <w:t>Das bisher</w:t>
      </w:r>
      <w:r w:rsidRPr="00592C91">
        <w:rPr>
          <w:rFonts w:ascii="Apercu Pro" w:hAnsi="Apercu Pro"/>
          <w:i/>
          <w:iCs/>
        </w:rPr>
        <w:t xml:space="preserve"> </w:t>
      </w:r>
      <w:r w:rsidR="004B5905" w:rsidRPr="00592C91">
        <w:rPr>
          <w:rFonts w:ascii="Apercu Pro" w:hAnsi="Apercu Pro"/>
        </w:rPr>
        <w:t>angenommene</w:t>
      </w:r>
      <w:r w:rsidRPr="00592C91">
        <w:rPr>
          <w:rFonts w:ascii="Apercu Pro" w:hAnsi="Apercu Pro"/>
          <w:i/>
          <w:iCs/>
        </w:rPr>
        <w:t xml:space="preserve"> </w:t>
      </w:r>
      <w:r w:rsidRPr="00592C91">
        <w:rPr>
          <w:rFonts w:ascii="Apercu Pro" w:hAnsi="Apercu Pro"/>
        </w:rPr>
        <w:t>Entstehungsjahr 1815, welches auch die nach dem</w:t>
      </w:r>
      <w:r w:rsidRPr="00592C91">
        <w:rPr>
          <w:rFonts w:ascii="Apercu Pro" w:hAnsi="Apercu Pro"/>
          <w:i/>
          <w:iCs/>
        </w:rPr>
        <w:t xml:space="preserve"> </w:t>
      </w:r>
      <w:r w:rsidRPr="00592C91">
        <w:rPr>
          <w:rFonts w:ascii="Apercu Pro" w:hAnsi="Apercu Pro"/>
        </w:rPr>
        <w:t>Gemälde</w:t>
      </w:r>
      <w:r w:rsidRPr="00592C91">
        <w:rPr>
          <w:rFonts w:ascii="Apercu Pro" w:hAnsi="Apercu Pro"/>
          <w:i/>
          <w:iCs/>
        </w:rPr>
        <w:t xml:space="preserve"> </w:t>
      </w:r>
      <w:r w:rsidRPr="00592C91">
        <w:rPr>
          <w:rFonts w:ascii="Apercu Pro" w:hAnsi="Apercu Pro"/>
        </w:rPr>
        <w:t xml:space="preserve">Kraffts von </w:t>
      </w:r>
      <w:r w:rsidRPr="00592C91">
        <w:rPr>
          <w:rFonts w:ascii="Apercu Pro" w:hAnsi="Apercu Pro"/>
          <w:i/>
          <w:iCs/>
        </w:rPr>
        <w:t xml:space="preserve">Domenico (II) </w:t>
      </w:r>
      <w:r w:rsidRPr="00592C91">
        <w:rPr>
          <w:rFonts w:ascii="Apercu Pro" w:hAnsi="Apercu Pro"/>
        </w:rPr>
        <w:t>gestochene</w:t>
      </w:r>
      <w:r w:rsidRPr="00592C91">
        <w:rPr>
          <w:rFonts w:ascii="Apercu Pro" w:hAnsi="Apercu Pro"/>
          <w:i/>
          <w:iCs/>
        </w:rPr>
        <w:t xml:space="preserve"> </w:t>
      </w:r>
      <w:r w:rsidRPr="00592C91">
        <w:rPr>
          <w:rFonts w:ascii="Apercu Pro" w:hAnsi="Apercu Pro"/>
        </w:rPr>
        <w:t>Radierung</w:t>
      </w:r>
      <w:r w:rsidRPr="00592C91">
        <w:rPr>
          <w:rFonts w:ascii="Apercu Pro" w:hAnsi="Apercu Pro"/>
          <w:i/>
          <w:iCs/>
        </w:rPr>
        <w:t xml:space="preserve"> Bildnis Dominik </w:t>
      </w:r>
      <w:proofErr w:type="spellStart"/>
      <w:r w:rsidRPr="00592C91">
        <w:rPr>
          <w:rFonts w:ascii="Apercu Pro" w:hAnsi="Apercu Pro"/>
          <w:i/>
          <w:iCs/>
        </w:rPr>
        <w:t>Artaria</w:t>
      </w:r>
      <w:proofErr w:type="spellEnd"/>
      <w:r w:rsidRPr="00592C91">
        <w:rPr>
          <w:rFonts w:ascii="Apercu Pro" w:hAnsi="Apercu Pro"/>
          <w:i/>
          <w:iCs/>
        </w:rPr>
        <w:t xml:space="preserve"> </w:t>
      </w:r>
      <w:r w:rsidRPr="00592C91">
        <w:rPr>
          <w:rFonts w:ascii="Apercu Pro" w:hAnsi="Apercu Pro"/>
        </w:rPr>
        <w:t>von Ludwig</w:t>
      </w:r>
      <w:r w:rsidRPr="00592C91">
        <w:rPr>
          <w:rFonts w:ascii="Apercu Pro" w:hAnsi="Apercu Pro"/>
          <w:i/>
          <w:iCs/>
        </w:rPr>
        <w:t xml:space="preserve"> </w:t>
      </w:r>
      <w:r w:rsidRPr="00592C91">
        <w:rPr>
          <w:rFonts w:ascii="Apercu Pro" w:hAnsi="Apercu Pro"/>
        </w:rPr>
        <w:t>Emil Grimm aufweist, konnte</w:t>
      </w:r>
      <w:r w:rsidR="004B5905" w:rsidRPr="00592C91">
        <w:rPr>
          <w:rFonts w:ascii="Apercu Pro" w:hAnsi="Apercu Pro"/>
        </w:rPr>
        <w:t xml:space="preserve"> im Zuge der Restaurierung</w:t>
      </w:r>
      <w:r w:rsidRPr="00592C91">
        <w:rPr>
          <w:rFonts w:ascii="Apercu Pro" w:hAnsi="Apercu Pro"/>
          <w:i/>
          <w:iCs/>
        </w:rPr>
        <w:t xml:space="preserve"> </w:t>
      </w:r>
      <w:r w:rsidRPr="00592C91">
        <w:rPr>
          <w:rFonts w:ascii="Apercu Pro" w:hAnsi="Apercu Pro"/>
        </w:rPr>
        <w:t xml:space="preserve">widerlegt werden. Laut den </w:t>
      </w:r>
      <w:r w:rsidRPr="00592C91">
        <w:rPr>
          <w:rFonts w:ascii="Apercu Pro" w:hAnsi="Apercu Pro"/>
        </w:rPr>
        <w:lastRenderedPageBreak/>
        <w:t>Bezeichnungen</w:t>
      </w:r>
      <w:r w:rsidRPr="00592C91">
        <w:rPr>
          <w:rFonts w:ascii="Apercu Pro" w:hAnsi="Apercu Pro"/>
          <w:i/>
          <w:iCs/>
        </w:rPr>
        <w:t xml:space="preserve"> </w:t>
      </w:r>
      <w:r w:rsidRPr="00592C91">
        <w:rPr>
          <w:rFonts w:ascii="Apercu Pro" w:hAnsi="Apercu Pro"/>
        </w:rPr>
        <w:t xml:space="preserve">der Gemälde von Krafft entstand das </w:t>
      </w:r>
      <w:r w:rsidRPr="00592C91">
        <w:rPr>
          <w:rFonts w:ascii="Apercu Pro" w:hAnsi="Apercu Pro"/>
          <w:i/>
          <w:iCs/>
        </w:rPr>
        <w:t xml:space="preserve">Porträt Domenico (II) </w:t>
      </w:r>
      <w:r w:rsidR="00617A5C" w:rsidRPr="00592C91">
        <w:rPr>
          <w:rFonts w:ascii="Apercu Pro" w:hAnsi="Apercu Pro"/>
        </w:rPr>
        <w:t>1816</w:t>
      </w:r>
      <w:r w:rsidRPr="00592C91">
        <w:rPr>
          <w:rFonts w:ascii="Apercu Pro" w:hAnsi="Apercu Pro"/>
        </w:rPr>
        <w:t xml:space="preserve">, das der </w:t>
      </w:r>
      <w:proofErr w:type="gramStart"/>
      <w:r w:rsidRPr="00592C91">
        <w:rPr>
          <w:rFonts w:ascii="Apercu Pro" w:hAnsi="Apercu Pro"/>
          <w:i/>
          <w:iCs/>
        </w:rPr>
        <w:t>Anna Maria</w:t>
      </w:r>
      <w:proofErr w:type="gramEnd"/>
      <w:r w:rsidRPr="00592C91">
        <w:rPr>
          <w:rFonts w:ascii="Apercu Pro" w:hAnsi="Apercu Pro"/>
          <w:i/>
          <w:iCs/>
        </w:rPr>
        <w:t xml:space="preserve"> </w:t>
      </w:r>
      <w:r w:rsidRPr="00592C91">
        <w:rPr>
          <w:rFonts w:ascii="Apercu Pro" w:hAnsi="Apercu Pro"/>
        </w:rPr>
        <w:t>zwei</w:t>
      </w:r>
      <w:r w:rsidRPr="00592C91">
        <w:rPr>
          <w:rFonts w:ascii="Apercu Pro" w:hAnsi="Apercu Pro"/>
          <w:i/>
          <w:iCs/>
        </w:rPr>
        <w:t xml:space="preserve"> </w:t>
      </w:r>
      <w:r w:rsidRPr="00592C91">
        <w:rPr>
          <w:rFonts w:ascii="Apercu Pro" w:hAnsi="Apercu Pro"/>
        </w:rPr>
        <w:t xml:space="preserve">Jahre später im Jahr 1818, </w:t>
      </w:r>
      <w:r w:rsidR="00617A5C" w:rsidRPr="00592C91">
        <w:rPr>
          <w:rFonts w:ascii="Apercu Pro" w:hAnsi="Apercu Pro"/>
        </w:rPr>
        <w:t>beide</w:t>
      </w:r>
      <w:r w:rsidRPr="00592C91">
        <w:rPr>
          <w:rFonts w:ascii="Apercu Pro" w:hAnsi="Apercu Pro"/>
        </w:rPr>
        <w:t xml:space="preserve"> </w:t>
      </w:r>
      <w:r w:rsidR="00617A5C" w:rsidRPr="00592C91">
        <w:rPr>
          <w:rFonts w:ascii="Apercu Pro" w:hAnsi="Apercu Pro"/>
        </w:rPr>
        <w:t>in</w:t>
      </w:r>
      <w:r w:rsidRPr="00592C91">
        <w:rPr>
          <w:rFonts w:ascii="Apercu Pro" w:hAnsi="Apercu Pro"/>
        </w:rPr>
        <w:t xml:space="preserve"> Wien.</w:t>
      </w:r>
    </w:p>
    <w:p w:rsidR="005810B9" w:rsidRPr="00592C91" w:rsidRDefault="005810B9" w:rsidP="00905C94">
      <w:pPr>
        <w:spacing w:line="276" w:lineRule="auto"/>
        <w:rPr>
          <w:rFonts w:ascii="Apercu Pro" w:hAnsi="Apercu Pro"/>
          <w:iCs/>
        </w:rPr>
      </w:pPr>
    </w:p>
    <w:p w:rsidR="005810B9" w:rsidRPr="00592C91" w:rsidRDefault="005810B9" w:rsidP="00905C94">
      <w:pPr>
        <w:spacing w:line="276" w:lineRule="auto"/>
        <w:rPr>
          <w:rFonts w:ascii="Apercu Pro" w:hAnsi="Apercu Pro"/>
        </w:rPr>
      </w:pPr>
      <w:r w:rsidRPr="00592C91">
        <w:rPr>
          <w:rFonts w:ascii="Apercu Pro" w:hAnsi="Apercu Pro"/>
        </w:rPr>
        <w:t xml:space="preserve">Kraffts Werke wurden nicht nur vom Kaiserhaus, sondern auch vom Adel und dem Bürgertum sehr geschätzt. Die beiden Porträts zeigen zwei Mitglieder der weitverzweigten Kunsthändler- und Verlegerfamilie </w:t>
      </w:r>
      <w:proofErr w:type="spellStart"/>
      <w:r w:rsidRPr="00592C91">
        <w:rPr>
          <w:rFonts w:ascii="Apercu Pro" w:hAnsi="Apercu Pro"/>
        </w:rPr>
        <w:t>Artaria</w:t>
      </w:r>
      <w:proofErr w:type="spellEnd"/>
      <w:r w:rsidRPr="00592C91">
        <w:rPr>
          <w:rFonts w:ascii="Apercu Pro" w:hAnsi="Apercu Pro"/>
        </w:rPr>
        <w:t>, deren Spuren von Italien über Mainz nach Wien und Mannheim führen.</w:t>
      </w:r>
    </w:p>
    <w:p w:rsidR="004B5905" w:rsidRPr="00592C91" w:rsidRDefault="004B5905" w:rsidP="004B5905">
      <w:pPr>
        <w:spacing w:line="360" w:lineRule="auto"/>
        <w:rPr>
          <w:rFonts w:ascii="Apercu Pro" w:hAnsi="Apercu Pro" w:cs="Arial"/>
          <w:sz w:val="24"/>
          <w:szCs w:val="24"/>
        </w:rPr>
      </w:pPr>
    </w:p>
    <w:tbl>
      <w:tblPr>
        <w:tblStyle w:val="Tabellenraster"/>
        <w:tblW w:w="0" w:type="auto"/>
        <w:tblLook w:val="04A0" w:firstRow="1" w:lastRow="0" w:firstColumn="1" w:lastColumn="0" w:noHBand="0" w:noVBand="1"/>
      </w:tblPr>
      <w:tblGrid>
        <w:gridCol w:w="4473"/>
        <w:gridCol w:w="4474"/>
      </w:tblGrid>
      <w:tr w:rsidR="004B5905" w:rsidRPr="00592C91" w:rsidTr="00AE6CA7">
        <w:tc>
          <w:tcPr>
            <w:tcW w:w="4531" w:type="dxa"/>
          </w:tcPr>
          <w:p w:rsidR="004B5905" w:rsidRPr="00592C91" w:rsidRDefault="004B5905" w:rsidP="00AE6CA7">
            <w:pPr>
              <w:spacing w:line="360" w:lineRule="auto"/>
              <w:rPr>
                <w:rFonts w:ascii="Apercu Pro" w:hAnsi="Apercu Pro" w:cs="Arial"/>
                <w:sz w:val="24"/>
                <w:szCs w:val="24"/>
              </w:rPr>
            </w:pPr>
            <w:r w:rsidRPr="00592C91">
              <w:rPr>
                <w:rFonts w:ascii="Apercu Pro" w:hAnsi="Apercu Pro" w:cs="Arial"/>
                <w:noProof/>
                <w:sz w:val="24"/>
                <w:szCs w:val="24"/>
                <w:lang w:eastAsia="de-AT"/>
              </w:rPr>
              <w:drawing>
                <wp:anchor distT="0" distB="0" distL="114300" distR="114300" simplePos="0" relativeHeight="251659264" behindDoc="1" locked="0" layoutInCell="1" allowOverlap="1" wp14:anchorId="7272FA9C" wp14:editId="4005216B">
                  <wp:simplePos x="0" y="0"/>
                  <wp:positionH relativeFrom="column">
                    <wp:posOffset>209550</wp:posOffset>
                  </wp:positionH>
                  <wp:positionV relativeFrom="paragraph">
                    <wp:posOffset>303530</wp:posOffset>
                  </wp:positionV>
                  <wp:extent cx="2231390" cy="2872740"/>
                  <wp:effectExtent l="0" t="0" r="0" b="3810"/>
                  <wp:wrapTight wrapText="bothSides">
                    <wp:wrapPolygon edited="0">
                      <wp:start x="0" y="0"/>
                      <wp:lineTo x="0" y="21485"/>
                      <wp:lineTo x="21391" y="21485"/>
                      <wp:lineTo x="2139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287274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rsidR="004B5905" w:rsidRPr="00592C91" w:rsidRDefault="004B5905" w:rsidP="00AE6CA7">
            <w:pPr>
              <w:spacing w:line="360" w:lineRule="auto"/>
              <w:rPr>
                <w:rFonts w:ascii="Apercu Pro" w:hAnsi="Apercu Pro" w:cs="Arial"/>
                <w:sz w:val="24"/>
                <w:szCs w:val="24"/>
              </w:rPr>
            </w:pPr>
            <w:r w:rsidRPr="00592C91">
              <w:rPr>
                <w:rFonts w:ascii="Apercu Pro" w:hAnsi="Apercu Pro" w:cs="Arial"/>
                <w:noProof/>
                <w:sz w:val="24"/>
                <w:szCs w:val="24"/>
                <w:lang w:eastAsia="de-AT"/>
              </w:rPr>
              <w:drawing>
                <wp:anchor distT="0" distB="0" distL="114300" distR="114300" simplePos="0" relativeHeight="251660288" behindDoc="1" locked="0" layoutInCell="1" allowOverlap="1" wp14:anchorId="1FDFCB55" wp14:editId="67883DF7">
                  <wp:simplePos x="0" y="0"/>
                  <wp:positionH relativeFrom="column">
                    <wp:posOffset>189865</wp:posOffset>
                  </wp:positionH>
                  <wp:positionV relativeFrom="paragraph">
                    <wp:posOffset>300996</wp:posOffset>
                  </wp:positionV>
                  <wp:extent cx="2244730" cy="2876550"/>
                  <wp:effectExtent l="0" t="0" r="3175" b="0"/>
                  <wp:wrapTight wrapText="bothSides">
                    <wp:wrapPolygon edited="0">
                      <wp:start x="0" y="0"/>
                      <wp:lineTo x="0" y="21457"/>
                      <wp:lineTo x="21447" y="21457"/>
                      <wp:lineTo x="2144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4730" cy="2876550"/>
                          </a:xfrm>
                          <a:prstGeom prst="rect">
                            <a:avLst/>
                          </a:prstGeom>
                        </pic:spPr>
                      </pic:pic>
                    </a:graphicData>
                  </a:graphic>
                </wp:anchor>
              </w:drawing>
            </w:r>
          </w:p>
          <w:p w:rsidR="004B5905" w:rsidRPr="00592C91" w:rsidRDefault="004B5905" w:rsidP="00AE6CA7">
            <w:pPr>
              <w:spacing w:line="360" w:lineRule="auto"/>
              <w:rPr>
                <w:rFonts w:ascii="Apercu Pro" w:hAnsi="Apercu Pro" w:cs="Arial"/>
                <w:sz w:val="24"/>
                <w:szCs w:val="24"/>
              </w:rPr>
            </w:pPr>
          </w:p>
        </w:tc>
      </w:tr>
      <w:tr w:rsidR="004B5905" w:rsidRPr="00592C91" w:rsidTr="00AE6CA7">
        <w:tc>
          <w:tcPr>
            <w:tcW w:w="4531" w:type="dxa"/>
          </w:tcPr>
          <w:p w:rsidR="004B5905" w:rsidRPr="00AC2F0C" w:rsidRDefault="004B5905" w:rsidP="00AE6CA7">
            <w:pPr>
              <w:spacing w:line="360" w:lineRule="auto"/>
              <w:rPr>
                <w:rFonts w:ascii="Apercu Pro" w:hAnsi="Apercu Pro" w:cs="Arial"/>
                <w:sz w:val="16"/>
                <w:szCs w:val="16"/>
              </w:rPr>
            </w:pPr>
            <w:r w:rsidRPr="00AC2F0C">
              <w:rPr>
                <w:rFonts w:ascii="Apercu Pro" w:hAnsi="Apercu Pro" w:cs="Arial"/>
                <w:sz w:val="16"/>
                <w:szCs w:val="16"/>
              </w:rPr>
              <w:t>Peter Krafft</w:t>
            </w:r>
          </w:p>
          <w:p w:rsidR="004B5905" w:rsidRPr="00AC2F0C" w:rsidRDefault="004B5905" w:rsidP="00AE6CA7">
            <w:pPr>
              <w:spacing w:line="360" w:lineRule="auto"/>
              <w:rPr>
                <w:rFonts w:ascii="Apercu Pro" w:hAnsi="Apercu Pro" w:cs="Arial"/>
                <w:sz w:val="16"/>
                <w:szCs w:val="16"/>
              </w:rPr>
            </w:pPr>
            <w:proofErr w:type="gramStart"/>
            <w:r w:rsidRPr="00AC2F0C">
              <w:rPr>
                <w:rFonts w:ascii="Apercu Pro" w:hAnsi="Apercu Pro" w:cs="Arial"/>
                <w:sz w:val="16"/>
                <w:szCs w:val="16"/>
              </w:rPr>
              <w:t>A</w:t>
            </w:r>
            <w:r w:rsidR="00BF1D23" w:rsidRPr="00AC2F0C">
              <w:rPr>
                <w:rFonts w:ascii="Apercu Pro" w:hAnsi="Apercu Pro" w:cs="Arial"/>
                <w:sz w:val="16"/>
                <w:szCs w:val="16"/>
              </w:rPr>
              <w:t>nna Maria</w:t>
            </w:r>
            <w:proofErr w:type="gramEnd"/>
            <w:r w:rsidR="00BF1D23" w:rsidRPr="00AC2F0C">
              <w:rPr>
                <w:rFonts w:ascii="Apercu Pro" w:hAnsi="Apercu Pro" w:cs="Arial"/>
                <w:sz w:val="16"/>
                <w:szCs w:val="16"/>
              </w:rPr>
              <w:t xml:space="preserve"> </w:t>
            </w:r>
            <w:proofErr w:type="spellStart"/>
            <w:r w:rsidR="00BF1D23" w:rsidRPr="00AC2F0C">
              <w:rPr>
                <w:rFonts w:ascii="Apercu Pro" w:hAnsi="Apercu Pro" w:cs="Arial"/>
                <w:sz w:val="16"/>
                <w:szCs w:val="16"/>
              </w:rPr>
              <w:t>Artaria</w:t>
            </w:r>
            <w:proofErr w:type="spellEnd"/>
            <w:r w:rsidRPr="00AC2F0C">
              <w:rPr>
                <w:rFonts w:ascii="Apercu Pro" w:hAnsi="Apercu Pro" w:cs="Arial"/>
                <w:sz w:val="16"/>
                <w:szCs w:val="16"/>
              </w:rPr>
              <w:t xml:space="preserve"> (1774</w:t>
            </w:r>
            <w:r w:rsidR="00D60BB4" w:rsidRPr="00AC2F0C">
              <w:rPr>
                <w:rFonts w:ascii="Apercu Pro" w:hAnsi="Apercu Pro" w:cs="Arial"/>
                <w:sz w:val="16"/>
                <w:szCs w:val="16"/>
              </w:rPr>
              <w:t>-</w:t>
            </w:r>
            <w:r w:rsidRPr="00AC2F0C">
              <w:rPr>
                <w:rFonts w:ascii="Apercu Pro" w:hAnsi="Apercu Pro" w:cs="Arial"/>
                <w:sz w:val="16"/>
                <w:szCs w:val="16"/>
              </w:rPr>
              <w:t>1845), 1818</w:t>
            </w:r>
          </w:p>
          <w:p w:rsidR="00BF1D23" w:rsidRPr="00AC2F0C" w:rsidRDefault="00BF1D23" w:rsidP="00AE6CA7">
            <w:pPr>
              <w:spacing w:line="360" w:lineRule="auto"/>
              <w:rPr>
                <w:rFonts w:ascii="Apercu Pro" w:hAnsi="Apercu Pro" w:cs="Arial"/>
                <w:sz w:val="16"/>
                <w:szCs w:val="16"/>
              </w:rPr>
            </w:pPr>
          </w:p>
          <w:p w:rsidR="00C5248D" w:rsidRPr="00AC2F0C" w:rsidRDefault="004B5905" w:rsidP="00AE6CA7">
            <w:pPr>
              <w:spacing w:line="360" w:lineRule="auto"/>
              <w:rPr>
                <w:rFonts w:ascii="Apercu Pro" w:hAnsi="Apercu Pro" w:cs="Arial"/>
                <w:i/>
                <w:sz w:val="16"/>
                <w:szCs w:val="16"/>
              </w:rPr>
            </w:pPr>
            <w:r w:rsidRPr="00AC2F0C">
              <w:rPr>
                <w:rFonts w:ascii="Apercu Pro" w:hAnsi="Apercu Pro" w:cs="Arial"/>
                <w:sz w:val="16"/>
                <w:szCs w:val="16"/>
              </w:rPr>
              <w:t xml:space="preserve">Öl/Leinwand, 120 x 93 cm, bez. l. u.: </w:t>
            </w:r>
            <w:proofErr w:type="spellStart"/>
            <w:r w:rsidR="00AC2F0C">
              <w:rPr>
                <w:rFonts w:ascii="Apercu Pro" w:hAnsi="Apercu Pro" w:cs="Arial"/>
                <w:i/>
                <w:sz w:val="16"/>
                <w:szCs w:val="16"/>
              </w:rPr>
              <w:t>PKrafft</w:t>
            </w:r>
            <w:proofErr w:type="spellEnd"/>
            <w:r w:rsidR="00AC2F0C">
              <w:rPr>
                <w:rFonts w:ascii="Apercu Pro" w:hAnsi="Apercu Pro" w:cs="Arial"/>
                <w:i/>
                <w:sz w:val="16"/>
                <w:szCs w:val="16"/>
              </w:rPr>
              <w:t xml:space="preserve"> </w:t>
            </w:r>
            <w:proofErr w:type="spellStart"/>
            <w:r w:rsidR="00AC2F0C">
              <w:rPr>
                <w:rFonts w:ascii="Apercu Pro" w:hAnsi="Apercu Pro" w:cs="Arial"/>
                <w:i/>
                <w:sz w:val="16"/>
                <w:szCs w:val="16"/>
              </w:rPr>
              <w:t>pinx</w:t>
            </w:r>
            <w:proofErr w:type="spellEnd"/>
            <w:r w:rsidR="00AC2F0C">
              <w:rPr>
                <w:rFonts w:ascii="Apercu Pro" w:hAnsi="Apercu Pro" w:cs="Arial"/>
                <w:i/>
                <w:sz w:val="16"/>
                <w:szCs w:val="16"/>
              </w:rPr>
              <w:t>. / Wien 1818</w:t>
            </w:r>
          </w:p>
          <w:p w:rsidR="004B5905" w:rsidRPr="00AC2F0C" w:rsidRDefault="004B5905" w:rsidP="00AE6CA7">
            <w:pPr>
              <w:spacing w:line="360" w:lineRule="auto"/>
              <w:rPr>
                <w:rFonts w:ascii="Apercu Pro" w:hAnsi="Apercu Pro" w:cs="Arial"/>
                <w:sz w:val="16"/>
                <w:szCs w:val="16"/>
              </w:rPr>
            </w:pPr>
            <w:r w:rsidRPr="00AC2F0C">
              <w:rPr>
                <w:rFonts w:ascii="Apercu Pro" w:hAnsi="Apercu Pro" w:cs="Arial"/>
                <w:sz w:val="16"/>
                <w:szCs w:val="16"/>
              </w:rPr>
              <w:t xml:space="preserve">Residenzgalerie Salzburg, </w:t>
            </w:r>
            <w:proofErr w:type="spellStart"/>
            <w:r w:rsidRPr="00AC2F0C">
              <w:rPr>
                <w:rFonts w:ascii="Apercu Pro" w:hAnsi="Apercu Pro" w:cs="Arial"/>
                <w:sz w:val="16"/>
                <w:szCs w:val="16"/>
              </w:rPr>
              <w:t>Inv</w:t>
            </w:r>
            <w:proofErr w:type="spellEnd"/>
            <w:r w:rsidRPr="00AC2F0C">
              <w:rPr>
                <w:rFonts w:ascii="Apercu Pro" w:hAnsi="Apercu Pro" w:cs="Arial"/>
                <w:sz w:val="16"/>
                <w:szCs w:val="16"/>
              </w:rPr>
              <w:t>.-Nr. 667</w:t>
            </w:r>
          </w:p>
          <w:p w:rsidR="004B5905" w:rsidRPr="00AC2F0C" w:rsidRDefault="004B5905" w:rsidP="00C5248D">
            <w:pPr>
              <w:autoSpaceDE w:val="0"/>
              <w:autoSpaceDN w:val="0"/>
              <w:adjustRightInd w:val="0"/>
              <w:spacing w:line="360" w:lineRule="auto"/>
              <w:rPr>
                <w:rFonts w:ascii="Apercu Pro" w:hAnsi="Apercu Pro" w:cs="Arial"/>
                <w:bCs/>
                <w:sz w:val="16"/>
                <w:szCs w:val="16"/>
              </w:rPr>
            </w:pPr>
            <w:r w:rsidRPr="00AC2F0C">
              <w:rPr>
                <w:rFonts w:ascii="Apercu Pro" w:hAnsi="Apercu Pro" w:cs="Arial"/>
                <w:bCs/>
                <w:sz w:val="16"/>
                <w:szCs w:val="16"/>
              </w:rPr>
              <w:t>Schenkung</w:t>
            </w:r>
            <w:r w:rsidRPr="00AC2F0C">
              <w:rPr>
                <w:rFonts w:ascii="Apercu Pro" w:hAnsi="Apercu Pro" w:cs="Arial"/>
                <w:bCs/>
                <w:i/>
                <w:iCs/>
                <w:sz w:val="16"/>
                <w:szCs w:val="16"/>
              </w:rPr>
              <w:t xml:space="preserve"> </w:t>
            </w:r>
            <w:r w:rsidRPr="00AC2F0C">
              <w:rPr>
                <w:rFonts w:ascii="Apercu Pro" w:hAnsi="Apercu Pro" w:cs="Arial"/>
                <w:bCs/>
                <w:sz w:val="16"/>
                <w:szCs w:val="16"/>
              </w:rPr>
              <w:t>von</w:t>
            </w:r>
            <w:r w:rsidRPr="00AC2F0C">
              <w:rPr>
                <w:rFonts w:ascii="Apercu Pro" w:hAnsi="Apercu Pro" w:cs="Arial"/>
                <w:bCs/>
                <w:i/>
                <w:iCs/>
                <w:sz w:val="16"/>
                <w:szCs w:val="16"/>
              </w:rPr>
              <w:t xml:space="preserve"> </w:t>
            </w:r>
            <w:r w:rsidRPr="00AC2F0C">
              <w:rPr>
                <w:rFonts w:ascii="Apercu Pro" w:hAnsi="Apercu Pro" w:cs="Arial"/>
                <w:bCs/>
                <w:sz w:val="16"/>
                <w:szCs w:val="16"/>
              </w:rPr>
              <w:t>Universitätsprofessor</w:t>
            </w:r>
            <w:r w:rsidRPr="00AC2F0C">
              <w:rPr>
                <w:rFonts w:ascii="Apercu Pro" w:hAnsi="Apercu Pro" w:cs="Arial"/>
                <w:bCs/>
                <w:i/>
                <w:iCs/>
                <w:sz w:val="16"/>
                <w:szCs w:val="16"/>
              </w:rPr>
              <w:t xml:space="preserve"> </w:t>
            </w:r>
            <w:r w:rsidRPr="00AC2F0C">
              <w:rPr>
                <w:rFonts w:ascii="Apercu Pro" w:hAnsi="Apercu Pro" w:cs="Arial"/>
                <w:bCs/>
                <w:sz w:val="16"/>
                <w:szCs w:val="16"/>
              </w:rPr>
              <w:t>Doktor der Philosophie</w:t>
            </w:r>
            <w:r w:rsidRPr="00AC2F0C">
              <w:rPr>
                <w:rFonts w:ascii="Apercu Pro" w:hAnsi="Apercu Pro" w:cs="Arial"/>
                <w:bCs/>
                <w:i/>
                <w:iCs/>
                <w:sz w:val="16"/>
                <w:szCs w:val="16"/>
              </w:rPr>
              <w:t xml:space="preserve"> </w:t>
            </w:r>
            <w:r w:rsidRPr="00AC2F0C">
              <w:rPr>
                <w:rFonts w:ascii="Apercu Pro" w:hAnsi="Apercu Pro" w:cs="Arial"/>
                <w:bCs/>
                <w:sz w:val="16"/>
                <w:szCs w:val="16"/>
              </w:rPr>
              <w:t>Edgar</w:t>
            </w:r>
            <w:r w:rsidRPr="00AC2F0C">
              <w:rPr>
                <w:rFonts w:ascii="Apercu Pro" w:hAnsi="Apercu Pro" w:cs="Arial"/>
                <w:bCs/>
                <w:i/>
                <w:iCs/>
                <w:sz w:val="16"/>
                <w:szCs w:val="16"/>
              </w:rPr>
              <w:t xml:space="preserve"> </w:t>
            </w:r>
            <w:proofErr w:type="spellStart"/>
            <w:r w:rsidRPr="00AC2F0C">
              <w:rPr>
                <w:rFonts w:ascii="Apercu Pro" w:hAnsi="Apercu Pro" w:cs="Arial"/>
                <w:bCs/>
                <w:sz w:val="16"/>
                <w:szCs w:val="16"/>
              </w:rPr>
              <w:t>Hertlein</w:t>
            </w:r>
            <w:proofErr w:type="spellEnd"/>
            <w:r w:rsidRPr="00AC2F0C">
              <w:rPr>
                <w:rFonts w:ascii="Apercu Pro" w:hAnsi="Apercu Pro" w:cs="Arial"/>
                <w:bCs/>
                <w:sz w:val="16"/>
                <w:szCs w:val="16"/>
              </w:rPr>
              <w:t>, Kunsthistoriker,</w:t>
            </w:r>
            <w:r w:rsidRPr="00AC2F0C">
              <w:rPr>
                <w:rFonts w:ascii="Apercu Pro" w:hAnsi="Apercu Pro" w:cs="Arial"/>
                <w:bCs/>
                <w:i/>
                <w:iCs/>
                <w:sz w:val="16"/>
                <w:szCs w:val="16"/>
              </w:rPr>
              <w:t xml:space="preserve"> </w:t>
            </w:r>
            <w:r w:rsidRPr="00AC2F0C">
              <w:rPr>
                <w:rFonts w:ascii="Apercu Pro" w:hAnsi="Apercu Pro" w:cs="Arial"/>
                <w:bCs/>
                <w:sz w:val="16"/>
                <w:szCs w:val="16"/>
              </w:rPr>
              <w:t xml:space="preserve">in </w:t>
            </w:r>
            <w:proofErr w:type="spellStart"/>
            <w:r w:rsidRPr="00AC2F0C">
              <w:rPr>
                <w:rFonts w:ascii="Apercu Pro" w:hAnsi="Apercu Pro" w:cs="Arial"/>
                <w:bCs/>
                <w:sz w:val="16"/>
                <w:szCs w:val="16"/>
              </w:rPr>
              <w:t>memoriam</w:t>
            </w:r>
            <w:proofErr w:type="spellEnd"/>
            <w:r w:rsidRPr="00AC2F0C">
              <w:rPr>
                <w:rFonts w:ascii="Apercu Pro" w:hAnsi="Apercu Pro" w:cs="Arial"/>
                <w:bCs/>
                <w:sz w:val="16"/>
                <w:szCs w:val="16"/>
              </w:rPr>
              <w:t xml:space="preserve"> Doktorin</w:t>
            </w:r>
            <w:r w:rsidRPr="00AC2F0C">
              <w:rPr>
                <w:rFonts w:ascii="Apercu Pro" w:hAnsi="Apercu Pro" w:cs="Arial"/>
                <w:bCs/>
                <w:i/>
                <w:iCs/>
                <w:sz w:val="16"/>
                <w:szCs w:val="16"/>
              </w:rPr>
              <w:t xml:space="preserve"> </w:t>
            </w:r>
            <w:r w:rsidRPr="00AC2F0C">
              <w:rPr>
                <w:rFonts w:ascii="Apercu Pro" w:hAnsi="Apercu Pro" w:cs="Arial"/>
                <w:bCs/>
                <w:sz w:val="16"/>
                <w:szCs w:val="16"/>
              </w:rPr>
              <w:t>der</w:t>
            </w:r>
            <w:r w:rsidRPr="00AC2F0C">
              <w:rPr>
                <w:rFonts w:ascii="Apercu Pro" w:hAnsi="Apercu Pro" w:cs="Arial"/>
                <w:bCs/>
                <w:i/>
                <w:iCs/>
                <w:sz w:val="16"/>
                <w:szCs w:val="16"/>
              </w:rPr>
              <w:t xml:space="preserve"> </w:t>
            </w:r>
            <w:r w:rsidRPr="00AC2F0C">
              <w:rPr>
                <w:rFonts w:ascii="Apercu Pro" w:hAnsi="Apercu Pro" w:cs="Arial"/>
                <w:bCs/>
                <w:sz w:val="16"/>
                <w:szCs w:val="16"/>
              </w:rPr>
              <w:t xml:space="preserve">Medizin Irmgard </w:t>
            </w:r>
            <w:proofErr w:type="spellStart"/>
            <w:r w:rsidRPr="00AC2F0C">
              <w:rPr>
                <w:rFonts w:ascii="Apercu Pro" w:hAnsi="Apercu Pro" w:cs="Arial"/>
                <w:bCs/>
                <w:sz w:val="16"/>
                <w:szCs w:val="16"/>
              </w:rPr>
              <w:t>Hertlein</w:t>
            </w:r>
            <w:proofErr w:type="spellEnd"/>
            <w:r w:rsidRPr="00AC2F0C">
              <w:rPr>
                <w:rFonts w:ascii="Apercu Pro" w:hAnsi="Apercu Pro" w:cs="Arial"/>
                <w:bCs/>
                <w:sz w:val="16"/>
                <w:szCs w:val="16"/>
              </w:rPr>
              <w:t>, geborene</w:t>
            </w:r>
            <w:r w:rsidRPr="00AC2F0C">
              <w:rPr>
                <w:rFonts w:ascii="Apercu Pro" w:hAnsi="Apercu Pro" w:cs="Arial"/>
                <w:bCs/>
                <w:i/>
                <w:iCs/>
                <w:sz w:val="16"/>
                <w:szCs w:val="16"/>
              </w:rPr>
              <w:t xml:space="preserve"> </w:t>
            </w:r>
            <w:r w:rsidRPr="00AC2F0C">
              <w:rPr>
                <w:rFonts w:ascii="Apercu Pro" w:hAnsi="Apercu Pro" w:cs="Arial"/>
                <w:bCs/>
                <w:sz w:val="16"/>
                <w:szCs w:val="16"/>
              </w:rPr>
              <w:t>Zeiss, Fachärztin</w:t>
            </w:r>
            <w:r w:rsidRPr="00AC2F0C">
              <w:rPr>
                <w:rFonts w:ascii="Apercu Pro" w:hAnsi="Apercu Pro" w:cs="Arial"/>
                <w:bCs/>
                <w:i/>
                <w:iCs/>
                <w:sz w:val="16"/>
                <w:szCs w:val="16"/>
              </w:rPr>
              <w:t xml:space="preserve"> </w:t>
            </w:r>
            <w:r w:rsidRPr="00AC2F0C">
              <w:rPr>
                <w:rFonts w:ascii="Apercu Pro" w:hAnsi="Apercu Pro" w:cs="Arial"/>
                <w:bCs/>
                <w:sz w:val="16"/>
                <w:szCs w:val="16"/>
              </w:rPr>
              <w:t>für Kinderheilkunde</w:t>
            </w:r>
          </w:p>
        </w:tc>
        <w:tc>
          <w:tcPr>
            <w:tcW w:w="4531" w:type="dxa"/>
          </w:tcPr>
          <w:p w:rsidR="004B5905" w:rsidRPr="00AC2F0C" w:rsidRDefault="004B5905" w:rsidP="00AE6CA7">
            <w:pPr>
              <w:spacing w:line="360" w:lineRule="auto"/>
              <w:rPr>
                <w:rFonts w:ascii="Apercu Pro" w:hAnsi="Apercu Pro" w:cs="Arial"/>
                <w:sz w:val="16"/>
                <w:szCs w:val="16"/>
              </w:rPr>
            </w:pPr>
            <w:r w:rsidRPr="00AC2F0C">
              <w:rPr>
                <w:rFonts w:ascii="Apercu Pro" w:hAnsi="Apercu Pro" w:cs="Arial"/>
                <w:sz w:val="16"/>
                <w:szCs w:val="16"/>
              </w:rPr>
              <w:t>Peter Krafft</w:t>
            </w:r>
          </w:p>
          <w:p w:rsidR="004B5905" w:rsidRPr="00AC2F0C" w:rsidRDefault="00D60BB4" w:rsidP="00AE6CA7">
            <w:pPr>
              <w:spacing w:line="360" w:lineRule="auto"/>
              <w:rPr>
                <w:rFonts w:ascii="Apercu Pro" w:hAnsi="Apercu Pro" w:cs="Arial"/>
                <w:sz w:val="16"/>
                <w:szCs w:val="16"/>
              </w:rPr>
            </w:pPr>
            <w:r w:rsidRPr="00AC2F0C">
              <w:rPr>
                <w:rFonts w:ascii="Apercu Pro" w:hAnsi="Apercu Pro" w:cs="Arial"/>
                <w:sz w:val="16"/>
                <w:szCs w:val="16"/>
              </w:rPr>
              <w:t xml:space="preserve">Domenico (II) </w:t>
            </w:r>
            <w:proofErr w:type="spellStart"/>
            <w:r w:rsidRPr="00AC2F0C">
              <w:rPr>
                <w:rFonts w:ascii="Apercu Pro" w:hAnsi="Apercu Pro" w:cs="Arial"/>
                <w:sz w:val="16"/>
                <w:szCs w:val="16"/>
              </w:rPr>
              <w:t>Artaria</w:t>
            </w:r>
            <w:proofErr w:type="spellEnd"/>
            <w:r w:rsidRPr="00AC2F0C">
              <w:rPr>
                <w:rFonts w:ascii="Apercu Pro" w:hAnsi="Apercu Pro" w:cs="Arial"/>
                <w:sz w:val="16"/>
                <w:szCs w:val="16"/>
              </w:rPr>
              <w:t xml:space="preserve"> (1765-1823</w:t>
            </w:r>
            <w:r w:rsidR="004B5905" w:rsidRPr="00AC2F0C">
              <w:rPr>
                <w:rFonts w:ascii="Apercu Pro" w:hAnsi="Apercu Pro" w:cs="Arial"/>
                <w:sz w:val="16"/>
                <w:szCs w:val="16"/>
              </w:rPr>
              <w:t>), 1816</w:t>
            </w:r>
          </w:p>
          <w:p w:rsidR="00D60BB4" w:rsidRPr="00AC2F0C" w:rsidRDefault="00D60BB4" w:rsidP="00AE6CA7">
            <w:pPr>
              <w:spacing w:line="360" w:lineRule="auto"/>
              <w:rPr>
                <w:rFonts w:ascii="Apercu Pro" w:hAnsi="Apercu Pro" w:cs="Arial"/>
                <w:sz w:val="16"/>
                <w:szCs w:val="16"/>
              </w:rPr>
            </w:pPr>
          </w:p>
          <w:p w:rsidR="004B5905" w:rsidRPr="00AC2F0C" w:rsidRDefault="004B5905" w:rsidP="00AE6CA7">
            <w:pPr>
              <w:spacing w:line="360" w:lineRule="auto"/>
              <w:rPr>
                <w:rFonts w:ascii="Apercu Pro" w:hAnsi="Apercu Pro" w:cs="Arial"/>
                <w:i/>
                <w:sz w:val="16"/>
                <w:szCs w:val="16"/>
              </w:rPr>
            </w:pPr>
            <w:r w:rsidRPr="00AC2F0C">
              <w:rPr>
                <w:rFonts w:ascii="Apercu Pro" w:hAnsi="Apercu Pro" w:cs="Arial"/>
                <w:sz w:val="16"/>
                <w:szCs w:val="16"/>
              </w:rPr>
              <w:t xml:space="preserve">Öl/Leinwand, 120 x 93 cm, bez. r. u.: </w:t>
            </w:r>
            <w:proofErr w:type="spellStart"/>
            <w:r w:rsidRPr="00AC2F0C">
              <w:rPr>
                <w:rFonts w:ascii="Apercu Pro" w:hAnsi="Apercu Pro" w:cs="Arial"/>
                <w:i/>
                <w:sz w:val="16"/>
                <w:szCs w:val="16"/>
              </w:rPr>
              <w:t>PKrafft</w:t>
            </w:r>
            <w:proofErr w:type="spellEnd"/>
            <w:r w:rsidRPr="00AC2F0C">
              <w:rPr>
                <w:rFonts w:ascii="Apercu Pro" w:hAnsi="Apercu Pro" w:cs="Arial"/>
                <w:i/>
                <w:sz w:val="16"/>
                <w:szCs w:val="16"/>
              </w:rPr>
              <w:t xml:space="preserve"> </w:t>
            </w:r>
            <w:proofErr w:type="spellStart"/>
            <w:r w:rsidRPr="00AC2F0C">
              <w:rPr>
                <w:rFonts w:ascii="Apercu Pro" w:hAnsi="Apercu Pro" w:cs="Arial"/>
                <w:i/>
                <w:sz w:val="16"/>
                <w:szCs w:val="16"/>
              </w:rPr>
              <w:t>pinx</w:t>
            </w:r>
            <w:proofErr w:type="spellEnd"/>
            <w:r w:rsidRPr="00AC2F0C">
              <w:rPr>
                <w:rFonts w:ascii="Apercu Pro" w:hAnsi="Apercu Pro" w:cs="Arial"/>
                <w:i/>
                <w:sz w:val="16"/>
                <w:szCs w:val="16"/>
              </w:rPr>
              <w:t>. Wien / 1816</w:t>
            </w:r>
          </w:p>
          <w:p w:rsidR="00D60BB4" w:rsidRPr="00AC2F0C" w:rsidRDefault="004B5905" w:rsidP="00AE6CA7">
            <w:pPr>
              <w:spacing w:line="360" w:lineRule="auto"/>
              <w:rPr>
                <w:rFonts w:ascii="Apercu Pro" w:hAnsi="Apercu Pro" w:cs="Arial"/>
                <w:sz w:val="16"/>
                <w:szCs w:val="16"/>
              </w:rPr>
            </w:pPr>
            <w:r w:rsidRPr="00AC2F0C">
              <w:rPr>
                <w:rFonts w:ascii="Apercu Pro" w:hAnsi="Apercu Pro" w:cs="Arial"/>
                <w:sz w:val="16"/>
                <w:szCs w:val="16"/>
              </w:rPr>
              <w:t xml:space="preserve">Residenzgalerie Salzburg, </w:t>
            </w:r>
            <w:proofErr w:type="spellStart"/>
            <w:r w:rsidRPr="00AC2F0C">
              <w:rPr>
                <w:rFonts w:ascii="Apercu Pro" w:hAnsi="Apercu Pro" w:cs="Arial"/>
                <w:sz w:val="16"/>
                <w:szCs w:val="16"/>
              </w:rPr>
              <w:t>Inv</w:t>
            </w:r>
            <w:proofErr w:type="spellEnd"/>
            <w:r w:rsidRPr="00AC2F0C">
              <w:rPr>
                <w:rFonts w:ascii="Apercu Pro" w:hAnsi="Apercu Pro" w:cs="Arial"/>
                <w:sz w:val="16"/>
                <w:szCs w:val="16"/>
              </w:rPr>
              <w:t>.-Nr. 668</w:t>
            </w:r>
          </w:p>
          <w:p w:rsidR="004B5905" w:rsidRPr="00AC2F0C" w:rsidRDefault="004B5905" w:rsidP="00C5248D">
            <w:pPr>
              <w:autoSpaceDE w:val="0"/>
              <w:autoSpaceDN w:val="0"/>
              <w:adjustRightInd w:val="0"/>
              <w:spacing w:line="360" w:lineRule="auto"/>
              <w:rPr>
                <w:rFonts w:ascii="Apercu Pro" w:hAnsi="Apercu Pro" w:cs="Arial"/>
                <w:bCs/>
                <w:sz w:val="16"/>
                <w:szCs w:val="16"/>
              </w:rPr>
            </w:pPr>
            <w:r w:rsidRPr="00AC2F0C">
              <w:rPr>
                <w:rFonts w:ascii="Apercu Pro" w:hAnsi="Apercu Pro" w:cs="Arial"/>
                <w:bCs/>
                <w:sz w:val="16"/>
                <w:szCs w:val="16"/>
              </w:rPr>
              <w:t>Schenkung</w:t>
            </w:r>
            <w:r w:rsidRPr="00AC2F0C">
              <w:rPr>
                <w:rFonts w:ascii="Apercu Pro" w:hAnsi="Apercu Pro" w:cs="Arial"/>
                <w:bCs/>
                <w:i/>
                <w:iCs/>
                <w:sz w:val="16"/>
                <w:szCs w:val="16"/>
              </w:rPr>
              <w:t xml:space="preserve"> </w:t>
            </w:r>
            <w:r w:rsidRPr="00AC2F0C">
              <w:rPr>
                <w:rFonts w:ascii="Apercu Pro" w:hAnsi="Apercu Pro" w:cs="Arial"/>
                <w:bCs/>
                <w:sz w:val="16"/>
                <w:szCs w:val="16"/>
              </w:rPr>
              <w:t>von</w:t>
            </w:r>
            <w:r w:rsidRPr="00AC2F0C">
              <w:rPr>
                <w:rFonts w:ascii="Apercu Pro" w:hAnsi="Apercu Pro" w:cs="Arial"/>
                <w:bCs/>
                <w:i/>
                <w:iCs/>
                <w:sz w:val="16"/>
                <w:szCs w:val="16"/>
              </w:rPr>
              <w:t xml:space="preserve"> </w:t>
            </w:r>
            <w:r w:rsidRPr="00AC2F0C">
              <w:rPr>
                <w:rFonts w:ascii="Apercu Pro" w:hAnsi="Apercu Pro" w:cs="Arial"/>
                <w:bCs/>
                <w:sz w:val="16"/>
                <w:szCs w:val="16"/>
              </w:rPr>
              <w:t>Universitätsprofessor</w:t>
            </w:r>
            <w:r w:rsidRPr="00AC2F0C">
              <w:rPr>
                <w:rFonts w:ascii="Apercu Pro" w:hAnsi="Apercu Pro" w:cs="Arial"/>
                <w:bCs/>
                <w:i/>
                <w:iCs/>
                <w:sz w:val="16"/>
                <w:szCs w:val="16"/>
              </w:rPr>
              <w:t xml:space="preserve"> </w:t>
            </w:r>
            <w:r w:rsidRPr="00AC2F0C">
              <w:rPr>
                <w:rFonts w:ascii="Apercu Pro" w:hAnsi="Apercu Pro" w:cs="Arial"/>
                <w:bCs/>
                <w:sz w:val="16"/>
                <w:szCs w:val="16"/>
              </w:rPr>
              <w:t>Doktor der Philosophie</w:t>
            </w:r>
            <w:r w:rsidRPr="00AC2F0C">
              <w:rPr>
                <w:rFonts w:ascii="Apercu Pro" w:hAnsi="Apercu Pro" w:cs="Arial"/>
                <w:bCs/>
                <w:i/>
                <w:iCs/>
                <w:sz w:val="16"/>
                <w:szCs w:val="16"/>
              </w:rPr>
              <w:t xml:space="preserve"> </w:t>
            </w:r>
            <w:r w:rsidRPr="00AC2F0C">
              <w:rPr>
                <w:rFonts w:ascii="Apercu Pro" w:hAnsi="Apercu Pro" w:cs="Arial"/>
                <w:bCs/>
                <w:sz w:val="16"/>
                <w:szCs w:val="16"/>
              </w:rPr>
              <w:t>Edgar</w:t>
            </w:r>
            <w:r w:rsidRPr="00AC2F0C">
              <w:rPr>
                <w:rFonts w:ascii="Apercu Pro" w:hAnsi="Apercu Pro" w:cs="Arial"/>
                <w:bCs/>
                <w:i/>
                <w:iCs/>
                <w:sz w:val="16"/>
                <w:szCs w:val="16"/>
              </w:rPr>
              <w:t xml:space="preserve"> </w:t>
            </w:r>
            <w:proofErr w:type="spellStart"/>
            <w:r w:rsidRPr="00AC2F0C">
              <w:rPr>
                <w:rFonts w:ascii="Apercu Pro" w:hAnsi="Apercu Pro" w:cs="Arial"/>
                <w:bCs/>
                <w:sz w:val="16"/>
                <w:szCs w:val="16"/>
              </w:rPr>
              <w:t>Hertlein</w:t>
            </w:r>
            <w:proofErr w:type="spellEnd"/>
            <w:r w:rsidRPr="00AC2F0C">
              <w:rPr>
                <w:rFonts w:ascii="Apercu Pro" w:hAnsi="Apercu Pro" w:cs="Arial"/>
                <w:bCs/>
                <w:sz w:val="16"/>
                <w:szCs w:val="16"/>
              </w:rPr>
              <w:t>, Kunsthistoriker,</w:t>
            </w:r>
            <w:r w:rsidRPr="00AC2F0C">
              <w:rPr>
                <w:rFonts w:ascii="Apercu Pro" w:hAnsi="Apercu Pro" w:cs="Arial"/>
                <w:bCs/>
                <w:i/>
                <w:iCs/>
                <w:sz w:val="16"/>
                <w:szCs w:val="16"/>
              </w:rPr>
              <w:t xml:space="preserve"> </w:t>
            </w:r>
            <w:r w:rsidRPr="00AC2F0C">
              <w:rPr>
                <w:rFonts w:ascii="Apercu Pro" w:hAnsi="Apercu Pro" w:cs="Arial"/>
                <w:bCs/>
                <w:sz w:val="16"/>
                <w:szCs w:val="16"/>
              </w:rPr>
              <w:t xml:space="preserve">in </w:t>
            </w:r>
            <w:proofErr w:type="spellStart"/>
            <w:r w:rsidRPr="00AC2F0C">
              <w:rPr>
                <w:rFonts w:ascii="Apercu Pro" w:hAnsi="Apercu Pro" w:cs="Arial"/>
                <w:bCs/>
                <w:sz w:val="16"/>
                <w:szCs w:val="16"/>
              </w:rPr>
              <w:t>memoriam</w:t>
            </w:r>
            <w:proofErr w:type="spellEnd"/>
            <w:r w:rsidRPr="00AC2F0C">
              <w:rPr>
                <w:rFonts w:ascii="Apercu Pro" w:hAnsi="Apercu Pro" w:cs="Arial"/>
                <w:bCs/>
                <w:sz w:val="16"/>
                <w:szCs w:val="16"/>
              </w:rPr>
              <w:t xml:space="preserve"> Doktorin</w:t>
            </w:r>
            <w:r w:rsidRPr="00AC2F0C">
              <w:rPr>
                <w:rFonts w:ascii="Apercu Pro" w:hAnsi="Apercu Pro" w:cs="Arial"/>
                <w:bCs/>
                <w:i/>
                <w:iCs/>
                <w:sz w:val="16"/>
                <w:szCs w:val="16"/>
              </w:rPr>
              <w:t xml:space="preserve"> </w:t>
            </w:r>
            <w:r w:rsidRPr="00AC2F0C">
              <w:rPr>
                <w:rFonts w:ascii="Apercu Pro" w:hAnsi="Apercu Pro" w:cs="Arial"/>
                <w:bCs/>
                <w:sz w:val="16"/>
                <w:szCs w:val="16"/>
              </w:rPr>
              <w:t>der</w:t>
            </w:r>
            <w:r w:rsidRPr="00AC2F0C">
              <w:rPr>
                <w:rFonts w:ascii="Apercu Pro" w:hAnsi="Apercu Pro" w:cs="Arial"/>
                <w:bCs/>
                <w:i/>
                <w:iCs/>
                <w:sz w:val="16"/>
                <w:szCs w:val="16"/>
              </w:rPr>
              <w:t xml:space="preserve"> </w:t>
            </w:r>
            <w:r w:rsidRPr="00AC2F0C">
              <w:rPr>
                <w:rFonts w:ascii="Apercu Pro" w:hAnsi="Apercu Pro" w:cs="Arial"/>
                <w:bCs/>
                <w:sz w:val="16"/>
                <w:szCs w:val="16"/>
              </w:rPr>
              <w:t xml:space="preserve">Medizin Irmgard </w:t>
            </w:r>
            <w:proofErr w:type="spellStart"/>
            <w:r w:rsidRPr="00AC2F0C">
              <w:rPr>
                <w:rFonts w:ascii="Apercu Pro" w:hAnsi="Apercu Pro" w:cs="Arial"/>
                <w:bCs/>
                <w:sz w:val="16"/>
                <w:szCs w:val="16"/>
              </w:rPr>
              <w:t>Hertlein</w:t>
            </w:r>
            <w:proofErr w:type="spellEnd"/>
            <w:r w:rsidRPr="00AC2F0C">
              <w:rPr>
                <w:rFonts w:ascii="Apercu Pro" w:hAnsi="Apercu Pro" w:cs="Arial"/>
                <w:bCs/>
                <w:sz w:val="16"/>
                <w:szCs w:val="16"/>
              </w:rPr>
              <w:t>, geborene</w:t>
            </w:r>
            <w:r w:rsidRPr="00AC2F0C">
              <w:rPr>
                <w:rFonts w:ascii="Apercu Pro" w:hAnsi="Apercu Pro" w:cs="Arial"/>
                <w:bCs/>
                <w:i/>
                <w:iCs/>
                <w:sz w:val="16"/>
                <w:szCs w:val="16"/>
              </w:rPr>
              <w:t xml:space="preserve"> </w:t>
            </w:r>
            <w:r w:rsidRPr="00AC2F0C">
              <w:rPr>
                <w:rFonts w:ascii="Apercu Pro" w:hAnsi="Apercu Pro" w:cs="Arial"/>
                <w:bCs/>
                <w:sz w:val="16"/>
                <w:szCs w:val="16"/>
              </w:rPr>
              <w:t>Zeiss, Fachärztin</w:t>
            </w:r>
            <w:r w:rsidRPr="00AC2F0C">
              <w:rPr>
                <w:rFonts w:ascii="Apercu Pro" w:hAnsi="Apercu Pro" w:cs="Arial"/>
                <w:bCs/>
                <w:i/>
                <w:iCs/>
                <w:sz w:val="16"/>
                <w:szCs w:val="16"/>
              </w:rPr>
              <w:t xml:space="preserve"> </w:t>
            </w:r>
            <w:r w:rsidRPr="00AC2F0C">
              <w:rPr>
                <w:rFonts w:ascii="Apercu Pro" w:hAnsi="Apercu Pro" w:cs="Arial"/>
                <w:bCs/>
                <w:sz w:val="16"/>
                <w:szCs w:val="16"/>
              </w:rPr>
              <w:t>für Kinderheilkunde</w:t>
            </w:r>
          </w:p>
        </w:tc>
      </w:tr>
    </w:tbl>
    <w:p w:rsidR="000F49D7" w:rsidRPr="00592C91" w:rsidRDefault="000F49D7" w:rsidP="00BB24A7">
      <w:pPr>
        <w:spacing w:after="150" w:line="240" w:lineRule="auto"/>
        <w:rPr>
          <w:rFonts w:ascii="Apercu Pro" w:eastAsia="Times New Roman" w:hAnsi="Apercu Pro" w:cs="Times New Roman"/>
          <w:sz w:val="24"/>
          <w:szCs w:val="24"/>
          <w:lang w:eastAsia="de-AT"/>
        </w:rPr>
      </w:pPr>
    </w:p>
    <w:p w:rsidR="002F313A" w:rsidRPr="00592C91" w:rsidRDefault="002F313A" w:rsidP="00905C94">
      <w:pPr>
        <w:spacing w:line="276" w:lineRule="auto"/>
        <w:rPr>
          <w:rFonts w:ascii="Apercu Pro" w:hAnsi="Apercu Pro" w:cs="Arial"/>
        </w:rPr>
      </w:pPr>
      <w:r w:rsidRPr="00592C91">
        <w:rPr>
          <w:rFonts w:ascii="Apercu Pro" w:hAnsi="Apercu Pro" w:cs="Arial"/>
        </w:rPr>
        <w:lastRenderedPageBreak/>
        <w:t xml:space="preserve">Im künstlerischen </w:t>
      </w:r>
      <w:proofErr w:type="spellStart"/>
      <w:r w:rsidRPr="00592C91">
        <w:rPr>
          <w:rFonts w:ascii="Apercu Pro" w:hAnsi="Apercu Pro" w:cs="Arial"/>
        </w:rPr>
        <w:t>Œuvre</w:t>
      </w:r>
      <w:proofErr w:type="spellEnd"/>
      <w:r w:rsidRPr="00592C91">
        <w:rPr>
          <w:rFonts w:ascii="Apercu Pro" w:hAnsi="Apercu Pro" w:cs="Arial"/>
        </w:rPr>
        <w:t xml:space="preserve"> Kraffts nimmt die Porträtmalerei seit seinen Pariser Jahren einen wichtigen Platz ein. Bereits vor seiner Übersiedlung nach Wien widmete er sich diesem Genre, ermöglichte es ihm doch eine finanzielle Unabhängigkeit, die es ihm gestattete, seiner eigentlichen Leidenschaft, der Historienmalerei, nachzugehen. Als etablierter Künstler war es für ihn ein durchaus lukratives Geschäft.</w:t>
      </w:r>
    </w:p>
    <w:p w:rsidR="002F313A" w:rsidRPr="00592C91" w:rsidRDefault="002F313A" w:rsidP="00905C94">
      <w:pPr>
        <w:spacing w:line="276" w:lineRule="auto"/>
        <w:rPr>
          <w:rFonts w:ascii="Apercu Pro" w:hAnsi="Apercu Pro" w:cs="Arial"/>
        </w:rPr>
      </w:pPr>
      <w:r w:rsidRPr="00592C91">
        <w:rPr>
          <w:rFonts w:ascii="Apercu Pro" w:hAnsi="Apercu Pro" w:cs="Arial"/>
        </w:rPr>
        <w:t>Kraffts Verdienst war es, dass er den neuesten französischen Kunstgeschmack von seinem Paris-Aufenthalt nach Wien mitbrachte. Das kann einerseits an den Herrscherbildnissen, andererseits an den Darstellungen wohlhabender Bürgerinnen und Bürger abgelesen werden. Seine Porträts sind mitunter von kühler Eleganz und strahlen klassische Strenge aus. Im Erscheinungsbild der Dargestellten spiegelt sich das Wesen der Porträtierten in realistischer Manier wider – so wie in den beiden, der Residenzgalerie Salzburg zum Geschenk gemachten, Gemälden.</w:t>
      </w:r>
    </w:p>
    <w:p w:rsidR="002F313A" w:rsidRPr="00592C91" w:rsidRDefault="002F313A" w:rsidP="00905C94">
      <w:pPr>
        <w:spacing w:line="276" w:lineRule="auto"/>
        <w:rPr>
          <w:rFonts w:ascii="Apercu Pro" w:hAnsi="Apercu Pro" w:cs="Arial"/>
        </w:rPr>
      </w:pPr>
    </w:p>
    <w:p w:rsidR="002F313A" w:rsidRPr="00592C91" w:rsidRDefault="002F313A" w:rsidP="00905C94">
      <w:pPr>
        <w:spacing w:line="276" w:lineRule="auto"/>
        <w:rPr>
          <w:rFonts w:ascii="Apercu Pro" w:hAnsi="Apercu Pro" w:cs="Arial"/>
        </w:rPr>
      </w:pPr>
      <w:r w:rsidRPr="00592C91">
        <w:rPr>
          <w:rFonts w:ascii="Apercu Pro" w:hAnsi="Apercu Pro" w:cs="Arial"/>
        </w:rPr>
        <w:t>Domenico wird als selbstbewusster Unternehmer präsentiert. Nicht frontal, sondern schräg nach links gewandt auf einem Stuhl sitzend, legt er lässig seinen rechten Arm über die Lehne des Sitzmöbels. In seiner Linken hält er einen Katalog, der auf die von ihm zum Verkauf angebotenen Druckwerke und Gemälde verweist. Von schlichter Eleganz ist seine dunkle Kleidung: Frack, Weste über weißem Hemd mit Querbinder, Hose und schwarze Lederstiefel. Die offenbar am Hosenbund befestigten Accessoires sowie die Ringe zeugen von Wohlstand.</w:t>
      </w:r>
    </w:p>
    <w:p w:rsidR="002F313A" w:rsidRPr="00592C91" w:rsidRDefault="002F313A" w:rsidP="00905C94">
      <w:pPr>
        <w:spacing w:line="276" w:lineRule="auto"/>
        <w:rPr>
          <w:rFonts w:ascii="Apercu Pro" w:hAnsi="Apercu Pro" w:cs="Arial"/>
        </w:rPr>
      </w:pPr>
      <w:r w:rsidRPr="00592C91">
        <w:rPr>
          <w:rFonts w:ascii="Apercu Pro" w:hAnsi="Apercu Pro" w:cs="Arial"/>
        </w:rPr>
        <w:t xml:space="preserve">Mit wachem Gesichtsausdruck und ins Gesicht gekämmtem Haar – dem französischen Modegeschmack folgend – blickt Domenico die Betrachtenden an. </w:t>
      </w:r>
    </w:p>
    <w:p w:rsidR="002F313A" w:rsidRPr="00592C91" w:rsidRDefault="002F313A" w:rsidP="00905C94">
      <w:pPr>
        <w:spacing w:line="276" w:lineRule="auto"/>
        <w:rPr>
          <w:rFonts w:ascii="Apercu Pro" w:hAnsi="Apercu Pro" w:cs="Arial"/>
        </w:rPr>
      </w:pPr>
      <w:r w:rsidRPr="00592C91">
        <w:rPr>
          <w:rFonts w:ascii="Apercu Pro" w:hAnsi="Apercu Pro" w:cs="Arial"/>
        </w:rPr>
        <w:t xml:space="preserve">Seine Ehefrau </w:t>
      </w:r>
      <w:proofErr w:type="gramStart"/>
      <w:r w:rsidRPr="00592C91">
        <w:rPr>
          <w:rFonts w:ascii="Apercu Pro" w:hAnsi="Apercu Pro" w:cs="Arial"/>
        </w:rPr>
        <w:t>Anna Maria</w:t>
      </w:r>
      <w:proofErr w:type="gramEnd"/>
      <w:r w:rsidRPr="00592C91">
        <w:rPr>
          <w:rFonts w:ascii="Apercu Pro" w:hAnsi="Apercu Pro" w:cs="Arial"/>
        </w:rPr>
        <w:t xml:space="preserve"> tut es ihm gleich. Gekonnt schildert Krafft auch hier die haptische Qualität der Kleidung. Das matt schimmernde, unter der Brust geschnürte Kleid umfließt ihren Körper. Die weißen Spitzen und der mit weißen Federn geschmückte </w:t>
      </w:r>
      <w:proofErr w:type="spellStart"/>
      <w:r w:rsidRPr="00592C91">
        <w:rPr>
          <w:rFonts w:ascii="Apercu Pro" w:hAnsi="Apercu Pro" w:cs="Arial"/>
        </w:rPr>
        <w:t>Schutenhut</w:t>
      </w:r>
      <w:proofErr w:type="spellEnd"/>
      <w:r w:rsidRPr="00592C91">
        <w:rPr>
          <w:rFonts w:ascii="Apercu Pro" w:hAnsi="Apercu Pro" w:cs="Arial"/>
        </w:rPr>
        <w:t xml:space="preserve">, der unter dem Kinn mit breiten Bändern zusammengebunden ist, rahmen ihr Gesicht. Einen intensiven Farbakzent setzt der Künstler mit der roten Beuteltasche auf ihrem Schoß sowie mit der farbigen Stuhlpolsterung: blau bei </w:t>
      </w:r>
      <w:proofErr w:type="gramStart"/>
      <w:r w:rsidRPr="00592C91">
        <w:rPr>
          <w:rFonts w:ascii="Apercu Pro" w:hAnsi="Apercu Pro" w:cs="Arial"/>
        </w:rPr>
        <w:t>Anna Maria</w:t>
      </w:r>
      <w:proofErr w:type="gramEnd"/>
      <w:r w:rsidRPr="00592C91">
        <w:rPr>
          <w:rFonts w:ascii="Apercu Pro" w:hAnsi="Apercu Pro" w:cs="Arial"/>
        </w:rPr>
        <w:t xml:space="preserve">, grün bei Domenico. Bei </w:t>
      </w:r>
      <w:proofErr w:type="gramStart"/>
      <w:r w:rsidRPr="00592C91">
        <w:rPr>
          <w:rFonts w:ascii="Apercu Pro" w:hAnsi="Apercu Pro" w:cs="Arial"/>
        </w:rPr>
        <w:t>Anna Maria</w:t>
      </w:r>
      <w:proofErr w:type="gramEnd"/>
      <w:r w:rsidRPr="00592C91">
        <w:rPr>
          <w:rFonts w:ascii="Apercu Pro" w:hAnsi="Apercu Pro" w:cs="Arial"/>
        </w:rPr>
        <w:t xml:space="preserve"> verdeckt das Kleid – anders als bei ihrem Mann – die exakte Sitzposition. Die Rückenlehne ihres Stuhls ist verschattet.</w:t>
      </w:r>
    </w:p>
    <w:p w:rsidR="002F313A" w:rsidRPr="00592C91" w:rsidRDefault="002F313A" w:rsidP="00905C94">
      <w:pPr>
        <w:spacing w:line="276" w:lineRule="auto"/>
        <w:rPr>
          <w:rFonts w:ascii="Apercu Pro" w:hAnsi="Apercu Pro" w:cs="Arial"/>
        </w:rPr>
      </w:pPr>
      <w:r w:rsidRPr="00592C91">
        <w:rPr>
          <w:rFonts w:ascii="Apercu Pro" w:hAnsi="Apercu Pro" w:cs="Arial"/>
        </w:rPr>
        <w:t xml:space="preserve">Der monochrome Hintergrund und die Ausleuchtung der Szene verleihen beiden Protagonisten eine starke Präsenz und betonen ihr Körpervolumen. Obwohl das Gemälde der </w:t>
      </w:r>
      <w:proofErr w:type="gramStart"/>
      <w:r w:rsidRPr="00592C91">
        <w:rPr>
          <w:rFonts w:ascii="Apercu Pro" w:hAnsi="Apercu Pro" w:cs="Arial"/>
        </w:rPr>
        <w:t>Anna Maria</w:t>
      </w:r>
      <w:proofErr w:type="gramEnd"/>
      <w:r w:rsidRPr="00592C91">
        <w:rPr>
          <w:rFonts w:ascii="Apercu Pro" w:hAnsi="Apercu Pro" w:cs="Arial"/>
        </w:rPr>
        <w:t xml:space="preserve"> erst 1818, zwei Jahre nach dem Porträt Domenicos, entstanden ist, übernehmen beide gemeinsam die Funktion eines Ehepaarbildnisses. Ein Paar, das sich der Bildtradition folgend einander zuwendet. </w:t>
      </w:r>
    </w:p>
    <w:p w:rsidR="002F313A" w:rsidRPr="00592C91" w:rsidRDefault="002F313A" w:rsidP="00905C94">
      <w:pPr>
        <w:spacing w:line="276" w:lineRule="auto"/>
        <w:rPr>
          <w:rFonts w:ascii="Apercu Pro" w:hAnsi="Apercu Pro" w:cs="Arial"/>
        </w:rPr>
      </w:pPr>
      <w:r w:rsidRPr="00592C91">
        <w:rPr>
          <w:rFonts w:ascii="Apercu Pro" w:hAnsi="Apercu Pro" w:cs="Arial"/>
        </w:rPr>
        <w:lastRenderedPageBreak/>
        <w:t xml:space="preserve">Eine gewisse Gegensätzlichkeit drückt die sittsame Sitzposition </w:t>
      </w:r>
      <w:proofErr w:type="gramStart"/>
      <w:r w:rsidRPr="00592C91">
        <w:rPr>
          <w:rFonts w:ascii="Apercu Pro" w:hAnsi="Apercu Pro" w:cs="Arial"/>
        </w:rPr>
        <w:t>Anna Marias</w:t>
      </w:r>
      <w:proofErr w:type="gramEnd"/>
      <w:r w:rsidRPr="00592C91">
        <w:rPr>
          <w:rFonts w:ascii="Apercu Pro" w:hAnsi="Apercu Pro" w:cs="Arial"/>
        </w:rPr>
        <w:t xml:space="preserve"> im Vergleich zu der legeren Haltung Domenicos aus. Sie entsprechen den zeitgenössischen Rollenbildern des 19. Jahrhunderts.</w:t>
      </w:r>
    </w:p>
    <w:p w:rsidR="002266D3" w:rsidRPr="00592C91" w:rsidRDefault="002266D3" w:rsidP="00905C94">
      <w:pPr>
        <w:spacing w:line="276" w:lineRule="auto"/>
        <w:rPr>
          <w:rFonts w:ascii="Apercu Pro" w:hAnsi="Apercu Pro" w:cs="Arial"/>
        </w:rPr>
      </w:pPr>
    </w:p>
    <w:p w:rsidR="002F313A" w:rsidRPr="00592C91" w:rsidRDefault="002F313A" w:rsidP="00905C94">
      <w:pPr>
        <w:spacing w:line="276" w:lineRule="auto"/>
        <w:rPr>
          <w:rFonts w:ascii="Apercu Pro" w:hAnsi="Apercu Pro" w:cs="Arial"/>
        </w:rPr>
      </w:pPr>
    </w:p>
    <w:p w:rsidR="002F313A" w:rsidRPr="00592C91" w:rsidRDefault="002F313A" w:rsidP="00905C94">
      <w:pPr>
        <w:spacing w:line="276" w:lineRule="auto"/>
        <w:rPr>
          <w:rFonts w:ascii="Apercu Pro" w:hAnsi="Apercu Pro" w:cs="Arial"/>
          <w:b/>
        </w:rPr>
      </w:pPr>
      <w:r w:rsidRPr="00592C91">
        <w:rPr>
          <w:rFonts w:ascii="Apercu Pro" w:hAnsi="Apercu Pro" w:cs="Arial"/>
          <w:b/>
        </w:rPr>
        <w:t>Peter Krafft (1780 Hanau/Hessen – 1856 Wien)</w:t>
      </w:r>
    </w:p>
    <w:p w:rsidR="002F313A" w:rsidRPr="00592C91" w:rsidRDefault="002F313A" w:rsidP="00905C94">
      <w:pPr>
        <w:spacing w:line="276" w:lineRule="auto"/>
        <w:rPr>
          <w:rFonts w:ascii="Apercu Pro" w:hAnsi="Apercu Pro" w:cs="Arial"/>
        </w:rPr>
      </w:pPr>
      <w:r w:rsidRPr="00592C91">
        <w:rPr>
          <w:rFonts w:ascii="Apercu Pro" w:hAnsi="Apercu Pro" w:cs="Arial"/>
        </w:rPr>
        <w:t>Der Künstler Peter Krafft tritt in der Literatur des 20. und beginnenden 21. Jahrhunderts immer wieder mit dem ergänzenden Vornamen „Johann“ Peter Krafft in Erscheinung. Die Angaben in den Schriftstücken der Akademie der bildenden Künste Wien aus den 1820er Jahren und seine Signaturen auf den Bildern weisen ihn jedoch eindeutig als „Peter Krafft“ aus. „Johann“ hat sich – laut Dr.</w:t>
      </w:r>
      <w:r w:rsidRPr="00592C91">
        <w:rPr>
          <w:rFonts w:ascii="Apercu Pro" w:hAnsi="Apercu Pro" w:cs="Arial"/>
          <w:vertAlign w:val="superscript"/>
        </w:rPr>
        <w:t>in</w:t>
      </w:r>
      <w:r w:rsidRPr="00592C91">
        <w:rPr>
          <w:rFonts w:ascii="Apercu Pro" w:hAnsi="Apercu Pro" w:cs="Arial"/>
        </w:rPr>
        <w:t xml:space="preserve"> Sabine Grabner vom Belvedere Wien – erst später in die Literatur hineingeschmuggelt.</w:t>
      </w:r>
    </w:p>
    <w:p w:rsidR="002F313A" w:rsidRPr="00592C91" w:rsidRDefault="002F313A" w:rsidP="00905C94">
      <w:pPr>
        <w:spacing w:line="276" w:lineRule="auto"/>
        <w:rPr>
          <w:rFonts w:ascii="Apercu Pro" w:hAnsi="Apercu Pro" w:cs="Arial"/>
        </w:rPr>
      </w:pPr>
      <w:r w:rsidRPr="00592C91">
        <w:rPr>
          <w:rFonts w:ascii="Apercu Pro" w:hAnsi="Apercu Pro" w:cs="Arial"/>
        </w:rPr>
        <w:t>Peter Krafft zählte in der ersten Hälfte des 19. Jahrhunderts zu den führenden Wiener Porträtmalern. Aufträge erhielt er vom Kaiserhaus, dem Adel und von wohlhabenden Bürgerinnen und Bürgern. Neben Porträts schuf er bedeutende Historiengemälde und Genrebilder.</w:t>
      </w:r>
    </w:p>
    <w:p w:rsidR="002F313A" w:rsidRPr="00592C91" w:rsidRDefault="002F313A" w:rsidP="00905C94">
      <w:pPr>
        <w:spacing w:line="276" w:lineRule="auto"/>
        <w:rPr>
          <w:rFonts w:ascii="Apercu Pro" w:hAnsi="Apercu Pro" w:cs="Arial"/>
        </w:rPr>
      </w:pPr>
      <w:r w:rsidRPr="00592C91">
        <w:rPr>
          <w:rFonts w:ascii="Apercu Pro" w:hAnsi="Apercu Pro" w:cs="Arial"/>
        </w:rPr>
        <w:t>Krafft, der bereits von Jugend an zeichnerisches Talent bewies, studierte ab 1799 an der Wiener Akademie. Er belegte das Fach Historienmalerei bei Hein</w:t>
      </w:r>
      <w:r w:rsidR="001D7B80" w:rsidRPr="00592C91">
        <w:rPr>
          <w:rFonts w:ascii="Apercu Pro" w:hAnsi="Apercu Pro" w:cs="Arial"/>
        </w:rPr>
        <w:t xml:space="preserve">rich Friedrich </w:t>
      </w:r>
      <w:proofErr w:type="spellStart"/>
      <w:r w:rsidR="001D7B80" w:rsidRPr="00592C91">
        <w:rPr>
          <w:rFonts w:ascii="Apercu Pro" w:hAnsi="Apercu Pro" w:cs="Arial"/>
        </w:rPr>
        <w:t>Füger</w:t>
      </w:r>
      <w:proofErr w:type="spellEnd"/>
      <w:r w:rsidRPr="00592C91">
        <w:rPr>
          <w:rFonts w:ascii="Apercu Pro" w:hAnsi="Apercu Pro" w:cs="Arial"/>
        </w:rPr>
        <w:t xml:space="preserve">, der mit zwei Gemälden in der Sammlung der Residenzgalerie Salzburg vertreten ist: </w:t>
      </w:r>
      <w:r w:rsidRPr="00592C91">
        <w:rPr>
          <w:rFonts w:ascii="Apercu Pro" w:hAnsi="Apercu Pro" w:cs="Arial"/>
          <w:i/>
        </w:rPr>
        <w:t>Die Musen der Tragödie und der Komödie</w:t>
      </w:r>
      <w:r w:rsidRPr="00592C91">
        <w:rPr>
          <w:rFonts w:ascii="Apercu Pro" w:hAnsi="Apercu Pro" w:cs="Arial"/>
        </w:rPr>
        <w:t xml:space="preserve"> sowie </w:t>
      </w:r>
      <w:r w:rsidRPr="00592C91">
        <w:rPr>
          <w:rFonts w:ascii="Apercu Pro" w:hAnsi="Apercu Pro" w:cs="Arial"/>
          <w:i/>
        </w:rPr>
        <w:t>Orpheus holt Eurydike aus der Unterwelt</w:t>
      </w:r>
      <w:r w:rsidRPr="00592C91">
        <w:rPr>
          <w:rFonts w:ascii="Apercu Pro" w:hAnsi="Apercu Pro" w:cs="Arial"/>
        </w:rPr>
        <w:t>; beides Entwürfe für einen Theatervorhang im Kärntnertortheater.</w:t>
      </w:r>
    </w:p>
    <w:p w:rsidR="002F313A" w:rsidRPr="00592C91" w:rsidRDefault="002F313A" w:rsidP="00905C94">
      <w:pPr>
        <w:spacing w:line="276" w:lineRule="auto"/>
        <w:rPr>
          <w:rFonts w:ascii="Apercu Pro" w:hAnsi="Apercu Pro" w:cs="Arial"/>
        </w:rPr>
      </w:pPr>
      <w:r w:rsidRPr="00592C91">
        <w:rPr>
          <w:rFonts w:ascii="Apercu Pro" w:hAnsi="Apercu Pro" w:cs="Arial"/>
        </w:rPr>
        <w:t>Sein weiterer Ausbildungsweg führte ihn 1802 nach Paris, ein Aufenthalt, der ihn nachhaltig geprägt hat. Dort kam er in Kontakt mit dem Historienmale</w:t>
      </w:r>
      <w:r w:rsidR="001D7B80" w:rsidRPr="00592C91">
        <w:rPr>
          <w:rFonts w:ascii="Apercu Pro" w:hAnsi="Apercu Pro" w:cs="Arial"/>
        </w:rPr>
        <w:t>r Jacques-Louis David</w:t>
      </w:r>
      <w:r w:rsidRPr="00592C91">
        <w:rPr>
          <w:rFonts w:ascii="Apercu Pro" w:hAnsi="Apercu Pro" w:cs="Arial"/>
        </w:rPr>
        <w:t>, dem Hofmaler Napoleons, sowie mit dem Porträtis</w:t>
      </w:r>
      <w:r w:rsidR="001D7B80" w:rsidRPr="00592C91">
        <w:rPr>
          <w:rFonts w:ascii="Apercu Pro" w:hAnsi="Apercu Pro" w:cs="Arial"/>
        </w:rPr>
        <w:t>ten François Gérard</w:t>
      </w:r>
      <w:r w:rsidRPr="00592C91">
        <w:rPr>
          <w:rFonts w:ascii="Apercu Pro" w:hAnsi="Apercu Pro" w:cs="Arial"/>
        </w:rPr>
        <w:t>.</w:t>
      </w:r>
    </w:p>
    <w:p w:rsidR="002F313A" w:rsidRPr="00592C91" w:rsidRDefault="002F313A" w:rsidP="00905C94">
      <w:pPr>
        <w:spacing w:line="276" w:lineRule="auto"/>
        <w:rPr>
          <w:rFonts w:ascii="Apercu Pro" w:hAnsi="Apercu Pro" w:cs="Arial"/>
        </w:rPr>
      </w:pPr>
      <w:r w:rsidRPr="00592C91">
        <w:rPr>
          <w:rFonts w:ascii="Apercu Pro" w:hAnsi="Apercu Pro" w:cs="Arial"/>
        </w:rPr>
        <w:t>1805 kehrte Krafft nach Wien zurück und widmete sich weiterhin der Porträtmalerei. 1813 wurde er Mitglied der Wiener Akademie, ab 1828 war der Künstler Direktor der kaiserlichen Gemäldegalerie im Oberen Belvedere und nahm die Funktion des Schlosshauptmanns ein.</w:t>
      </w:r>
      <w:r w:rsidR="00662B75" w:rsidRPr="00592C91">
        <w:rPr>
          <w:rFonts w:ascii="Apercu Pro" w:hAnsi="Apercu Pro" w:cs="Arial"/>
        </w:rPr>
        <w:t xml:space="preserve"> Neben der Neuordnung und Konservierung der kaiserlichen Galerie widmete er sich der Wiederherstellung des verwahrlosten Schlossgartens.</w:t>
      </w:r>
      <w:r w:rsidRPr="00592C91">
        <w:rPr>
          <w:rFonts w:ascii="Apercu Pro" w:hAnsi="Apercu Pro" w:cs="Arial"/>
        </w:rPr>
        <w:t xml:space="preserve"> </w:t>
      </w:r>
    </w:p>
    <w:p w:rsidR="002266D3" w:rsidRPr="00592C91" w:rsidRDefault="002F313A" w:rsidP="00905C94">
      <w:pPr>
        <w:spacing w:line="276" w:lineRule="auto"/>
        <w:rPr>
          <w:rFonts w:ascii="Apercu Pro" w:hAnsi="Apercu Pro" w:cs="Arial"/>
        </w:rPr>
      </w:pPr>
      <w:r w:rsidRPr="00592C91">
        <w:rPr>
          <w:rFonts w:ascii="Apercu Pro" w:hAnsi="Apercu Pro" w:cs="Arial"/>
        </w:rPr>
        <w:t xml:space="preserve">Zu Kraffts bekanntesten Historiengemälden zählt das 1812 entstandene, monumentale Werk </w:t>
      </w:r>
      <w:r w:rsidRPr="00592C91">
        <w:rPr>
          <w:rFonts w:ascii="Apercu Pro" w:hAnsi="Apercu Pro" w:cs="Arial"/>
          <w:i/>
        </w:rPr>
        <w:t xml:space="preserve">Erzherzog Carl mit der Fahne des Regiments Zach in der Schlacht von </w:t>
      </w:r>
      <w:proofErr w:type="spellStart"/>
      <w:r w:rsidRPr="00592C91">
        <w:rPr>
          <w:rFonts w:ascii="Apercu Pro" w:hAnsi="Apercu Pro" w:cs="Arial"/>
          <w:i/>
        </w:rPr>
        <w:t>Aspern</w:t>
      </w:r>
      <w:proofErr w:type="spellEnd"/>
      <w:r w:rsidRPr="00592C91">
        <w:rPr>
          <w:rFonts w:ascii="Apercu Pro" w:hAnsi="Apercu Pro" w:cs="Arial"/>
        </w:rPr>
        <w:t xml:space="preserve"> (Heeresgeschichtliches Museum, Wien). Bekannt sind auch seine drei großformatigen Wandgemälde in der Wiener Hofburg, die Szenen aus dem Leben von Kaiser Franz I. v</w:t>
      </w:r>
      <w:r w:rsidR="00EE0464" w:rsidRPr="00592C91">
        <w:rPr>
          <w:rFonts w:ascii="Apercu Pro" w:hAnsi="Apercu Pro" w:cs="Arial"/>
        </w:rPr>
        <w:t>on Österreich zeigen</w:t>
      </w:r>
      <w:r w:rsidRPr="00592C91">
        <w:rPr>
          <w:rFonts w:ascii="Apercu Pro" w:hAnsi="Apercu Pro" w:cs="Arial"/>
        </w:rPr>
        <w:t>.</w:t>
      </w:r>
    </w:p>
    <w:p w:rsidR="002F313A" w:rsidRPr="00592C91" w:rsidRDefault="002F313A" w:rsidP="00905C94">
      <w:pPr>
        <w:spacing w:line="276" w:lineRule="auto"/>
        <w:rPr>
          <w:rFonts w:ascii="Apercu Pro" w:hAnsi="Apercu Pro" w:cs="Arial"/>
        </w:rPr>
      </w:pPr>
    </w:p>
    <w:p w:rsidR="00905C94" w:rsidRPr="00592C91" w:rsidRDefault="00905C94" w:rsidP="00905C94">
      <w:pPr>
        <w:spacing w:line="276" w:lineRule="auto"/>
        <w:rPr>
          <w:rFonts w:ascii="Apercu Pro" w:hAnsi="Apercu Pro" w:cs="Arial"/>
        </w:rPr>
      </w:pPr>
    </w:p>
    <w:p w:rsidR="002F313A" w:rsidRPr="00592C91" w:rsidRDefault="002F313A" w:rsidP="00905C94">
      <w:pPr>
        <w:spacing w:line="276" w:lineRule="auto"/>
        <w:rPr>
          <w:rFonts w:ascii="Apercu Pro" w:hAnsi="Apercu Pro" w:cs="Arial"/>
          <w:b/>
        </w:rPr>
      </w:pPr>
      <w:r w:rsidRPr="00592C91">
        <w:rPr>
          <w:rFonts w:ascii="Apercu Pro" w:hAnsi="Apercu Pro" w:cs="Arial"/>
          <w:b/>
        </w:rPr>
        <w:t xml:space="preserve">Die Kunsthändler- und Verlegerfamilie </w:t>
      </w:r>
      <w:proofErr w:type="spellStart"/>
      <w:r w:rsidRPr="00592C91">
        <w:rPr>
          <w:rFonts w:ascii="Apercu Pro" w:hAnsi="Apercu Pro" w:cs="Arial"/>
          <w:b/>
        </w:rPr>
        <w:t>Artaria</w:t>
      </w:r>
      <w:proofErr w:type="spellEnd"/>
    </w:p>
    <w:p w:rsidR="003040C5" w:rsidRDefault="00EC7453" w:rsidP="00905C94">
      <w:pPr>
        <w:spacing w:line="276" w:lineRule="auto"/>
        <w:rPr>
          <w:rFonts w:ascii="Apercu Pro" w:eastAsia="Times New Roman" w:hAnsi="Apercu Pro"/>
        </w:rPr>
      </w:pPr>
      <w:r w:rsidRPr="00592C91">
        <w:rPr>
          <w:rFonts w:ascii="Apercu Pro" w:eastAsia="Times New Roman" w:hAnsi="Apercu Pro"/>
        </w:rPr>
        <w:t xml:space="preserve">Die aus Italien stammende Kunsthändler- und Verlegerfamilie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war in Mainz, Mannheim und Wien tätig.</w:t>
      </w:r>
      <w:r w:rsidRPr="00592C91">
        <w:rPr>
          <w:rFonts w:ascii="Apercu Pro" w:eastAsia="Times New Roman" w:hAnsi="Apercu Pro"/>
        </w:rPr>
        <w:br/>
        <w:t xml:space="preserve">Domenicos Vater Giovanni Casimiro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gründete mit sein</w:t>
      </w:r>
      <w:r w:rsidR="00DB36E3" w:rsidRPr="00592C91">
        <w:rPr>
          <w:rFonts w:ascii="Apercu Pro" w:eastAsia="Times New Roman" w:hAnsi="Apercu Pro"/>
        </w:rPr>
        <w:t>en Neffen Carlo und Francesco 17</w:t>
      </w:r>
      <w:r w:rsidRPr="00592C91">
        <w:rPr>
          <w:rFonts w:ascii="Apercu Pro" w:eastAsia="Times New Roman" w:hAnsi="Apercu Pro"/>
        </w:rPr>
        <w:t xml:space="preserve">65 in Mainz die Firma „Giovanni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&amp; Co“. Bereits ein Jahr später trennten sich Carlo und Francesco von ihrem Onkel und versuchten in Wien Fuß zu fassen. 1770 erhielt Carlo die Bewilligung eine Handelsniederlassung zu eröffnen, das Geschäft firmierte unter dem Titel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et Compagnie“. Neben Grafiken (Kupferstichen) verkaufte man optische Geräte, mathematische, physikalische und mechanische Waren sowie Mal- und Zeichenutensilien.</w:t>
      </w:r>
      <w:r w:rsidRPr="00592C91">
        <w:rPr>
          <w:rFonts w:ascii="Apercu Pro" w:eastAsia="Times New Roman" w:hAnsi="Apercu Pro"/>
        </w:rPr>
        <w:br/>
        <w:t>Zwei Jahre später beteiligten sich weitere Familienmitglieder an dem Unternehmen, unter anderem auch Pasquale, der Bruder von Domenico (II).</w:t>
      </w:r>
      <w:r w:rsidRPr="00592C91">
        <w:rPr>
          <w:rFonts w:ascii="Apercu Pro" w:eastAsia="Times New Roman" w:hAnsi="Apercu Pro"/>
        </w:rPr>
        <w:br/>
        <w:t xml:space="preserve">Das Geschäftsfeld wurde um geografische Karten und den Vertrieb von Musikstücken erweitert. Im Programm waren Kompositionen von Joseph Haydn, Franz Schubert, Wolfgang Amadeus Mozart oder Ludwig van Beethoven. Des Weiteren vertrieb man neben Stichen eigene </w:t>
      </w:r>
      <w:proofErr w:type="spellStart"/>
      <w:r w:rsidRPr="00592C91">
        <w:rPr>
          <w:rFonts w:ascii="Apercu Pro" w:eastAsia="Times New Roman" w:hAnsi="Apercu Pro"/>
        </w:rPr>
        <w:t>Vedutenser</w:t>
      </w:r>
      <w:r w:rsidR="00EE0464" w:rsidRPr="00592C91">
        <w:rPr>
          <w:rFonts w:ascii="Apercu Pro" w:eastAsia="Times New Roman" w:hAnsi="Apercu Pro"/>
        </w:rPr>
        <w:t>ien</w:t>
      </w:r>
      <w:proofErr w:type="spellEnd"/>
      <w:r w:rsidRPr="00592C91">
        <w:rPr>
          <w:rFonts w:ascii="Apercu Pro" w:eastAsia="Times New Roman" w:hAnsi="Apercu Pro"/>
        </w:rPr>
        <w:t xml:space="preserve"> - Vorlagen lieferten bekannte Künstler wie Laurenz </w:t>
      </w:r>
      <w:proofErr w:type="spellStart"/>
      <w:r w:rsidRPr="00592C91">
        <w:rPr>
          <w:rFonts w:ascii="Apercu Pro" w:eastAsia="Times New Roman" w:hAnsi="Apercu Pro"/>
        </w:rPr>
        <w:t>Janscha</w:t>
      </w:r>
      <w:proofErr w:type="spellEnd"/>
      <w:r w:rsidRPr="00592C91">
        <w:rPr>
          <w:rFonts w:ascii="Apercu Pro" w:eastAsia="Times New Roman" w:hAnsi="Apercu Pro"/>
        </w:rPr>
        <w:t xml:space="preserve"> oder Johann Ziegler.</w:t>
      </w:r>
      <w:r w:rsidRPr="00592C91">
        <w:rPr>
          <w:rFonts w:ascii="Apercu Pro" w:eastAsia="Times New Roman" w:hAnsi="Apercu Pro"/>
        </w:rPr>
        <w:br/>
        <w:t>1785 starb Pasquale und sein Bruder Domenico (II) rückte langsam nach, gemeinsam mit seinem Bruder Giovanni Maria leitete dieser auch das Mainzer Stammhaus.</w:t>
      </w:r>
      <w:r w:rsidRPr="00592C91">
        <w:rPr>
          <w:rFonts w:ascii="Apercu Pro" w:eastAsia="Times New Roman" w:hAnsi="Apercu Pro"/>
        </w:rPr>
        <w:br/>
        <w:t>1791 heiratete Domenico (II) Anna Maria Fontaine, die Tochter des Mannheimer Buchhändlers Matthieu Fontaine, und vereinte sein Unternehmen mit dem seines Schwiegervaters. Ab 1819 firmierte es im Großherzogtum Baden als Kunst- und Verlagsbuchhandlung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&amp; Fontaine“.</w:t>
      </w:r>
      <w:r w:rsidRPr="00592C91">
        <w:rPr>
          <w:rFonts w:ascii="Apercu Pro" w:eastAsia="Times New Roman" w:hAnsi="Apercu Pro"/>
        </w:rPr>
        <w:br/>
        <w:t>Die Wirren der Napoleonischen Kriege und die Ausrufung der Mainzer Republik führten zur Auflösung der Mainzer Filiale, Giovanni Maria zog mit Domenico (II) und dessen Frau Anna Maria nach Mannheim.</w:t>
      </w:r>
      <w:r w:rsidR="008464E4">
        <w:rPr>
          <w:rFonts w:ascii="Apercu Pro" w:eastAsia="Times New Roman" w:hAnsi="Apercu Pro"/>
        </w:rPr>
        <w:t xml:space="preserve"> </w:t>
      </w:r>
      <w:r w:rsidRPr="00592C91">
        <w:rPr>
          <w:rFonts w:ascii="Apercu Pro" w:eastAsia="Times New Roman" w:hAnsi="Apercu Pro"/>
        </w:rPr>
        <w:t>Der erstgeborene Sohn Karl führte später das Unternehmen unter dem Namen „</w:t>
      </w:r>
      <w:proofErr w:type="spellStart"/>
      <w:r w:rsidRPr="00592C91">
        <w:rPr>
          <w:rFonts w:ascii="Apercu Pro" w:eastAsia="Times New Roman" w:hAnsi="Apercu Pro"/>
        </w:rPr>
        <w:t>Artaria</w:t>
      </w:r>
      <w:proofErr w:type="spellEnd"/>
      <w:r w:rsidRPr="00592C91">
        <w:rPr>
          <w:rFonts w:ascii="Apercu Pro" w:eastAsia="Times New Roman" w:hAnsi="Apercu Pro"/>
        </w:rPr>
        <w:t xml:space="preserve"> &amp; Fontaine“ weiter</w:t>
      </w:r>
      <w:r w:rsidR="003040C5">
        <w:rPr>
          <w:rFonts w:ascii="Apercu Pro" w:eastAsia="Times New Roman" w:hAnsi="Apercu Pro"/>
        </w:rPr>
        <w:t>. Der Mannheimer Betrieb wurde mangels Interesse der Enkel von Domenico (II) 1867 geschlossen.</w:t>
      </w:r>
    </w:p>
    <w:p w:rsidR="00905C94" w:rsidRDefault="00905C94" w:rsidP="00905C94">
      <w:pPr>
        <w:spacing w:line="276" w:lineRule="auto"/>
        <w:rPr>
          <w:rFonts w:ascii="Apercu Pro" w:eastAsia="Times New Roman" w:hAnsi="Apercu Pro"/>
        </w:rPr>
      </w:pPr>
    </w:p>
    <w:p w:rsidR="003040C5" w:rsidRDefault="003040C5" w:rsidP="00905C94">
      <w:pPr>
        <w:spacing w:line="276" w:lineRule="auto"/>
        <w:rPr>
          <w:rFonts w:ascii="Apercu Pro" w:eastAsia="Times New Roman" w:hAnsi="Apercu Pro"/>
        </w:rPr>
      </w:pPr>
      <w:bookmarkStart w:id="0" w:name="_GoBack"/>
      <w:bookmarkEnd w:id="0"/>
    </w:p>
    <w:p w:rsidR="00B57157" w:rsidRPr="00592C91" w:rsidRDefault="00B57157" w:rsidP="00905C94">
      <w:pPr>
        <w:spacing w:line="276" w:lineRule="auto"/>
        <w:rPr>
          <w:rFonts w:ascii="Apercu Pro" w:eastAsia="Times New Roman" w:hAnsi="Apercu Pro"/>
        </w:rPr>
      </w:pPr>
    </w:p>
    <w:p w:rsidR="002F313A" w:rsidRPr="00592C91" w:rsidRDefault="002F313A" w:rsidP="00905C94">
      <w:pPr>
        <w:spacing w:line="276" w:lineRule="auto"/>
        <w:rPr>
          <w:rFonts w:ascii="Apercu Pro" w:hAnsi="Apercu Pro" w:cs="Arial"/>
        </w:rPr>
      </w:pPr>
    </w:p>
    <w:p w:rsidR="002F313A" w:rsidRPr="00592C91" w:rsidRDefault="002F313A" w:rsidP="00905C94">
      <w:pPr>
        <w:spacing w:line="276" w:lineRule="auto"/>
        <w:rPr>
          <w:rFonts w:ascii="Apercu Pro" w:hAnsi="Apercu Pro" w:cs="Arial"/>
          <w:b/>
        </w:rPr>
      </w:pPr>
      <w:r w:rsidRPr="00592C91">
        <w:rPr>
          <w:rFonts w:ascii="Apercu Pro" w:hAnsi="Apercu Pro" w:cs="Arial"/>
          <w:b/>
        </w:rPr>
        <w:lastRenderedPageBreak/>
        <w:t xml:space="preserve">Edgar </w:t>
      </w:r>
      <w:proofErr w:type="spellStart"/>
      <w:r w:rsidRPr="00592C91">
        <w:rPr>
          <w:rFonts w:ascii="Apercu Pro" w:hAnsi="Apercu Pro" w:cs="Arial"/>
          <w:b/>
        </w:rPr>
        <w:t>Hertlein</w:t>
      </w:r>
      <w:proofErr w:type="spellEnd"/>
    </w:p>
    <w:p w:rsidR="002F313A" w:rsidRPr="00592C91" w:rsidRDefault="002F313A" w:rsidP="00905C94">
      <w:pPr>
        <w:spacing w:line="276" w:lineRule="auto"/>
        <w:rPr>
          <w:rFonts w:ascii="Apercu Pro" w:hAnsi="Apercu Pro" w:cs="Arial"/>
        </w:rPr>
      </w:pPr>
      <w:r w:rsidRPr="00592C91">
        <w:rPr>
          <w:rFonts w:ascii="Apercu Pro" w:hAnsi="Apercu Pro" w:cs="Arial"/>
        </w:rPr>
        <w:t xml:space="preserve">Universitätsprofessor Doktor Edgar </w:t>
      </w:r>
      <w:proofErr w:type="spellStart"/>
      <w:r w:rsidRPr="00592C91">
        <w:rPr>
          <w:rFonts w:ascii="Apercu Pro" w:hAnsi="Apercu Pro" w:cs="Arial"/>
        </w:rPr>
        <w:t>Hertlein</w:t>
      </w:r>
      <w:proofErr w:type="spellEnd"/>
      <w:r w:rsidRPr="00592C91">
        <w:rPr>
          <w:rFonts w:ascii="Apercu Pro" w:hAnsi="Apercu Pro" w:cs="Arial"/>
        </w:rPr>
        <w:t>, geboren am 10. Dezember 1935 in Würzburg, studierte Kunstgeschichte, Klassische Archäologie, Philosophie, Historische Hilfswissenschaften und Byzantinistik an den Universitäten von Würzburg und München. 1977 wurde er auf den Lehrstuhl für Kunstgeschichte an die Staatliche Akademie der Bildenden Künste Stuttgart berufen.</w:t>
      </w:r>
    </w:p>
    <w:p w:rsidR="002F313A" w:rsidRPr="00592C91" w:rsidRDefault="002F313A" w:rsidP="00905C94">
      <w:pPr>
        <w:spacing w:line="276" w:lineRule="auto"/>
        <w:rPr>
          <w:rFonts w:ascii="Apercu Pro" w:hAnsi="Apercu Pro" w:cs="Arial"/>
        </w:rPr>
      </w:pPr>
      <w:proofErr w:type="spellStart"/>
      <w:r w:rsidRPr="00592C91">
        <w:rPr>
          <w:rFonts w:ascii="Apercu Pro" w:hAnsi="Apercu Pro" w:cs="Arial"/>
        </w:rPr>
        <w:t>Hertleins</w:t>
      </w:r>
      <w:proofErr w:type="spellEnd"/>
      <w:r w:rsidRPr="00592C91">
        <w:rPr>
          <w:rFonts w:ascii="Apercu Pro" w:hAnsi="Apercu Pro" w:cs="Arial"/>
        </w:rPr>
        <w:t xml:space="preserve"> wissenschaftliche Tätigkeit fokussierte er auf die Baukunst und Skulpturen der Franziskaner in Italien, auf die französische Buchmalerei, auf die Elfenbeinkunst des Mittelalters, die Malerei der Frührenaissance in Florenz und die Repräsentationskunst der Habsburger im Spätmittelalter. Er veröffentlichte die frühesten bekannten Zeichnungen Egon Schieles, die sich heute im Leopold Museum in Wien befinden.</w:t>
      </w:r>
    </w:p>
    <w:p w:rsidR="001D7B80" w:rsidRPr="00592C91" w:rsidRDefault="002F313A" w:rsidP="00905C94">
      <w:pPr>
        <w:spacing w:line="276" w:lineRule="auto"/>
        <w:rPr>
          <w:rFonts w:ascii="Apercu Pro" w:hAnsi="Apercu Pro" w:cs="Arial"/>
          <w:bCs/>
        </w:rPr>
      </w:pPr>
      <w:r w:rsidRPr="00592C91">
        <w:rPr>
          <w:rFonts w:ascii="Apercu Pro" w:hAnsi="Apercu Pro" w:cs="Arial"/>
        </w:rPr>
        <w:t xml:space="preserve">Dr. Edgar </w:t>
      </w:r>
      <w:proofErr w:type="spellStart"/>
      <w:r w:rsidRPr="00592C91">
        <w:rPr>
          <w:rFonts w:ascii="Apercu Pro" w:hAnsi="Apercu Pro" w:cs="Arial"/>
        </w:rPr>
        <w:t>Hertlein</w:t>
      </w:r>
      <w:proofErr w:type="spellEnd"/>
      <w:r w:rsidRPr="00592C91">
        <w:rPr>
          <w:rFonts w:ascii="Apercu Pro" w:hAnsi="Apercu Pro" w:cs="Arial"/>
        </w:rPr>
        <w:t xml:space="preserve"> war mit Dr.</w:t>
      </w:r>
      <w:r w:rsidRPr="00592C91">
        <w:rPr>
          <w:rFonts w:ascii="Apercu Pro" w:hAnsi="Apercu Pro" w:cs="Arial"/>
          <w:vertAlign w:val="superscript"/>
        </w:rPr>
        <w:t>in</w:t>
      </w:r>
      <w:r w:rsidRPr="00592C91">
        <w:rPr>
          <w:rFonts w:ascii="Apercu Pro" w:hAnsi="Apercu Pro" w:cs="Arial"/>
        </w:rPr>
        <w:t xml:space="preserve"> </w:t>
      </w:r>
      <w:r w:rsidRPr="00592C91">
        <w:rPr>
          <w:rFonts w:ascii="Apercu Pro" w:hAnsi="Apercu Pro" w:cs="Arial"/>
          <w:bCs/>
        </w:rPr>
        <w:t xml:space="preserve">Irmgard </w:t>
      </w:r>
      <w:proofErr w:type="spellStart"/>
      <w:r w:rsidRPr="00592C91">
        <w:rPr>
          <w:rFonts w:ascii="Apercu Pro" w:hAnsi="Apercu Pro" w:cs="Arial"/>
          <w:bCs/>
        </w:rPr>
        <w:t>Hertlein</w:t>
      </w:r>
      <w:proofErr w:type="spellEnd"/>
      <w:r w:rsidRPr="00592C91">
        <w:rPr>
          <w:rFonts w:ascii="Apercu Pro" w:hAnsi="Apercu Pro" w:cs="Arial"/>
          <w:bCs/>
        </w:rPr>
        <w:t>, geborene</w:t>
      </w:r>
      <w:r w:rsidRPr="00592C91">
        <w:rPr>
          <w:rFonts w:ascii="Apercu Pro" w:hAnsi="Apercu Pro" w:cs="Arial"/>
          <w:bCs/>
          <w:i/>
          <w:iCs/>
        </w:rPr>
        <w:t xml:space="preserve"> </w:t>
      </w:r>
      <w:r w:rsidRPr="00592C91">
        <w:rPr>
          <w:rFonts w:ascii="Apercu Pro" w:hAnsi="Apercu Pro" w:cs="Arial"/>
          <w:bCs/>
        </w:rPr>
        <w:t>Zeiss, Fachärztin</w:t>
      </w:r>
      <w:r w:rsidRPr="00592C91">
        <w:rPr>
          <w:rFonts w:ascii="Apercu Pro" w:hAnsi="Apercu Pro" w:cs="Arial"/>
          <w:bCs/>
          <w:i/>
          <w:iCs/>
        </w:rPr>
        <w:t xml:space="preserve"> </w:t>
      </w:r>
      <w:r w:rsidRPr="00592C91">
        <w:rPr>
          <w:rFonts w:ascii="Apercu Pro" w:hAnsi="Apercu Pro" w:cs="Arial"/>
          <w:bCs/>
        </w:rPr>
        <w:t xml:space="preserve">für Kinderheilkunde (14. November 1925 – 19. Jänner 2015), verheiratet, die väterlicherseits aus der Verlegerfamilie </w:t>
      </w:r>
      <w:proofErr w:type="spellStart"/>
      <w:r w:rsidRPr="00592C91">
        <w:rPr>
          <w:rFonts w:ascii="Apercu Pro" w:hAnsi="Apercu Pro" w:cs="Arial"/>
          <w:bCs/>
        </w:rPr>
        <w:t>Artaria</w:t>
      </w:r>
      <w:proofErr w:type="spellEnd"/>
      <w:r w:rsidRPr="00592C91">
        <w:rPr>
          <w:rFonts w:ascii="Apercu Pro" w:hAnsi="Apercu Pro" w:cs="Arial"/>
          <w:bCs/>
        </w:rPr>
        <w:t xml:space="preserve"> stammte.</w:t>
      </w:r>
    </w:p>
    <w:p w:rsidR="001D7B80" w:rsidRDefault="001D7B80" w:rsidP="002F313A">
      <w:pPr>
        <w:spacing w:line="240" w:lineRule="auto"/>
        <w:rPr>
          <w:rFonts w:ascii="Apercu Pro" w:hAnsi="Apercu Pro" w:cs="Arial"/>
          <w:b/>
          <w:bCs/>
        </w:rPr>
      </w:pPr>
    </w:p>
    <w:p w:rsidR="001256D3" w:rsidRPr="00592C91" w:rsidRDefault="001256D3" w:rsidP="002F313A">
      <w:pPr>
        <w:spacing w:line="240" w:lineRule="auto"/>
        <w:rPr>
          <w:rFonts w:ascii="Apercu Pro" w:hAnsi="Apercu Pro" w:cs="Arial"/>
          <w:b/>
          <w:bCs/>
        </w:rPr>
      </w:pPr>
    </w:p>
    <w:p w:rsidR="00BB24A7" w:rsidRPr="00592C91" w:rsidRDefault="00BB24A7" w:rsidP="00BB24A7">
      <w:pPr>
        <w:spacing w:after="150" w:line="240" w:lineRule="auto"/>
        <w:rPr>
          <w:rFonts w:ascii="Apercu Pro" w:eastAsia="Times New Roman" w:hAnsi="Apercu Pro" w:cs="Times New Roman"/>
          <w:lang w:eastAsia="de-AT"/>
        </w:rPr>
      </w:pPr>
    </w:p>
    <w:p w:rsidR="00BB24A7" w:rsidRPr="00592C91" w:rsidRDefault="00BB24A7" w:rsidP="00BB24A7">
      <w:pPr>
        <w:spacing w:after="150" w:line="240" w:lineRule="auto"/>
        <w:rPr>
          <w:rFonts w:ascii="Apercu Pro" w:eastAsia="Times New Roman" w:hAnsi="Apercu Pro" w:cs="Times New Roman"/>
          <w:lang w:eastAsia="de-AT"/>
        </w:rPr>
      </w:pPr>
      <w:r w:rsidRPr="00592C91">
        <w:rPr>
          <w:rFonts w:ascii="Apercu Pro" w:eastAsia="Times New Roman" w:hAnsi="Apercu Pro" w:cs="Times New Roman"/>
          <w:noProof/>
          <w:lang w:eastAsia="de-AT"/>
        </w:rPr>
        <w:drawing>
          <wp:inline distT="0" distB="0" distL="0" distR="0">
            <wp:extent cx="1200150" cy="438055"/>
            <wp:effectExtent l="0" t="0" r="0" b="635"/>
            <wp:docPr id="1" name="Grafik 1" descr="https://www.domquartier.at/wp-content/uploads/2024/06/land-salz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mquartier.at/wp-content/uploads/2024/06/land-salzbur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683" cy="446645"/>
                    </a:xfrm>
                    <a:prstGeom prst="rect">
                      <a:avLst/>
                    </a:prstGeom>
                    <a:noFill/>
                    <a:ln>
                      <a:noFill/>
                    </a:ln>
                  </pic:spPr>
                </pic:pic>
              </a:graphicData>
            </a:graphic>
          </wp:inline>
        </w:drawing>
      </w:r>
    </w:p>
    <w:p w:rsidR="002266D3" w:rsidRPr="00592C91" w:rsidRDefault="002F313A" w:rsidP="00BB24A7">
      <w:pPr>
        <w:spacing w:after="150" w:line="240" w:lineRule="auto"/>
        <w:rPr>
          <w:rFonts w:ascii="Apercu Pro" w:eastAsia="Times New Roman" w:hAnsi="Apercu Pro" w:cs="Times New Roman"/>
          <w:lang w:eastAsia="de-AT"/>
        </w:rPr>
      </w:pPr>
      <w:r w:rsidRPr="00592C91">
        <w:rPr>
          <w:rFonts w:ascii="Apercu Pro" w:eastAsia="Times New Roman" w:hAnsi="Apercu Pro" w:cs="Times New Roman"/>
          <w:lang w:eastAsia="de-AT"/>
        </w:rPr>
        <w:t xml:space="preserve">Restaurierung </w:t>
      </w:r>
      <w:r w:rsidR="002424E1" w:rsidRPr="00592C91">
        <w:rPr>
          <w:rFonts w:ascii="Apercu Pro" w:eastAsia="Times New Roman" w:hAnsi="Apercu Pro" w:cs="Times New Roman"/>
          <w:lang w:eastAsia="de-AT"/>
        </w:rPr>
        <w:t>finanziert</w:t>
      </w:r>
      <w:r w:rsidR="00F94B4D" w:rsidRPr="00592C91">
        <w:rPr>
          <w:rFonts w:ascii="Apercu Pro" w:eastAsia="Times New Roman" w:hAnsi="Apercu Pro" w:cs="Times New Roman"/>
          <w:lang w:eastAsia="de-AT"/>
        </w:rPr>
        <w:t xml:space="preserve"> durch das Land Salzburg</w:t>
      </w:r>
    </w:p>
    <w:p w:rsidR="002266D3" w:rsidRDefault="002266D3" w:rsidP="00BB24A7">
      <w:pPr>
        <w:spacing w:after="150" w:line="240" w:lineRule="auto"/>
        <w:rPr>
          <w:rFonts w:ascii="Apercu Pro" w:eastAsia="Times New Roman" w:hAnsi="Apercu Pro" w:cs="Times New Roman"/>
          <w:lang w:eastAsia="de-AT"/>
        </w:rPr>
      </w:pPr>
    </w:p>
    <w:p w:rsidR="001256D3" w:rsidRPr="00592C91" w:rsidRDefault="001256D3" w:rsidP="00BB24A7">
      <w:pPr>
        <w:spacing w:after="150" w:line="240" w:lineRule="auto"/>
        <w:rPr>
          <w:rFonts w:ascii="Apercu Pro" w:eastAsia="Times New Roman" w:hAnsi="Apercu Pro" w:cs="Times New Roman"/>
          <w:lang w:eastAsia="de-AT"/>
        </w:rPr>
      </w:pPr>
    </w:p>
    <w:p w:rsidR="00E40FBD" w:rsidRPr="00592C91" w:rsidRDefault="00E40FBD" w:rsidP="00E40FBD">
      <w:pPr>
        <w:rPr>
          <w:rFonts w:ascii="Apercu Pro" w:hAnsi="Apercu Pro"/>
          <w:b/>
        </w:rPr>
      </w:pPr>
      <w:r w:rsidRPr="00592C91">
        <w:rPr>
          <w:rFonts w:ascii="Apercu Pro" w:hAnsi="Apercu Pro"/>
          <w:b/>
        </w:rPr>
        <w:t xml:space="preserve">Bildmaterial zum Download finden Sie unter: </w:t>
      </w:r>
      <w:hyperlink r:id="rId10" w:history="1">
        <w:r w:rsidR="00302B7E" w:rsidRPr="00592C91">
          <w:rPr>
            <w:rFonts w:ascii="Apercu Pro" w:hAnsi="Apercu Pro"/>
            <w:color w:val="0000FF"/>
            <w:u w:val="single"/>
          </w:rPr>
          <w:t xml:space="preserve">Allgemeines Presse: </w:t>
        </w:r>
        <w:proofErr w:type="spellStart"/>
        <w:r w:rsidR="00302B7E" w:rsidRPr="00592C91">
          <w:rPr>
            <w:rFonts w:ascii="Apercu Pro" w:hAnsi="Apercu Pro"/>
            <w:color w:val="0000FF"/>
            <w:u w:val="single"/>
          </w:rPr>
          <w:t>DomQuartier</w:t>
        </w:r>
        <w:proofErr w:type="spellEnd"/>
        <w:r w:rsidR="00302B7E" w:rsidRPr="00592C91">
          <w:rPr>
            <w:rFonts w:ascii="Apercu Pro" w:hAnsi="Apercu Pro"/>
            <w:color w:val="0000FF"/>
            <w:u w:val="single"/>
          </w:rPr>
          <w:t xml:space="preserve"> Salzburg</w:t>
        </w:r>
      </w:hyperlink>
    </w:p>
    <w:p w:rsidR="003C3440" w:rsidRPr="00592C91" w:rsidRDefault="003C3440" w:rsidP="00E40FBD">
      <w:pPr>
        <w:rPr>
          <w:rFonts w:ascii="Apercu Pro" w:hAnsi="Apercu Pro"/>
          <w:b/>
        </w:rPr>
      </w:pPr>
    </w:p>
    <w:p w:rsidR="00E40FBD" w:rsidRPr="00592C91" w:rsidRDefault="00E40FBD" w:rsidP="00E40FBD">
      <w:pPr>
        <w:rPr>
          <w:rFonts w:ascii="Apercu Pro" w:hAnsi="Apercu Pro"/>
          <w:b/>
        </w:rPr>
      </w:pPr>
      <w:r w:rsidRPr="00592C91">
        <w:rPr>
          <w:rFonts w:ascii="Apercu Pro" w:hAnsi="Apercu Pro"/>
          <w:b/>
        </w:rPr>
        <w:t>Copyright Vermerke:</w:t>
      </w:r>
    </w:p>
    <w:p w:rsidR="003C3440" w:rsidRPr="00592C91" w:rsidRDefault="003C3440" w:rsidP="003C3440">
      <w:pPr>
        <w:rPr>
          <w:rFonts w:ascii="Apercu Pro" w:hAnsi="Apercu Pro"/>
          <w:sz w:val="24"/>
          <w:szCs w:val="24"/>
        </w:rPr>
      </w:pPr>
      <w:r w:rsidRPr="00592C91">
        <w:rPr>
          <w:rFonts w:ascii="Apercu Pro" w:hAnsi="Apercu Pro"/>
          <w:b/>
          <w:bCs/>
          <w:sz w:val="24"/>
          <w:szCs w:val="24"/>
        </w:rPr>
        <w:t xml:space="preserve">Peter Krafft, </w:t>
      </w:r>
      <w:proofErr w:type="gramStart"/>
      <w:r w:rsidRPr="00592C91">
        <w:rPr>
          <w:rFonts w:ascii="Apercu Pro" w:hAnsi="Apercu Pro"/>
          <w:b/>
          <w:bCs/>
          <w:sz w:val="24"/>
          <w:szCs w:val="24"/>
        </w:rPr>
        <w:t>Anna Maria</w:t>
      </w:r>
      <w:proofErr w:type="gramEnd"/>
      <w:r w:rsidRPr="00592C91">
        <w:rPr>
          <w:rFonts w:ascii="Apercu Pro" w:hAnsi="Apercu Pro"/>
          <w:b/>
          <w:bCs/>
          <w:sz w:val="24"/>
          <w:szCs w:val="24"/>
        </w:rPr>
        <w:t xml:space="preserve"> </w:t>
      </w:r>
      <w:proofErr w:type="spellStart"/>
      <w:r w:rsidRPr="00592C91">
        <w:rPr>
          <w:rFonts w:ascii="Apercu Pro" w:hAnsi="Apercu Pro"/>
          <w:b/>
          <w:bCs/>
          <w:sz w:val="24"/>
          <w:szCs w:val="24"/>
        </w:rPr>
        <w:t>Artaria</w:t>
      </w:r>
      <w:proofErr w:type="spellEnd"/>
      <w:r w:rsidRPr="00592C91">
        <w:rPr>
          <w:rFonts w:ascii="Apercu Pro" w:hAnsi="Apercu Pro"/>
          <w:b/>
          <w:bCs/>
          <w:sz w:val="24"/>
          <w:szCs w:val="24"/>
        </w:rPr>
        <w:t xml:space="preserve">, </w:t>
      </w:r>
      <w:r w:rsidRPr="00592C91">
        <w:rPr>
          <w:rFonts w:ascii="Apercu Pro" w:hAnsi="Apercu Pro"/>
          <w:sz w:val="24"/>
          <w:szCs w:val="24"/>
        </w:rPr>
        <w:t>1818 © 2024 RGS/</w:t>
      </w:r>
      <w:proofErr w:type="spellStart"/>
      <w:r w:rsidRPr="00592C91">
        <w:rPr>
          <w:rFonts w:ascii="Apercu Pro" w:hAnsi="Apercu Pro"/>
          <w:sz w:val="24"/>
          <w:szCs w:val="24"/>
        </w:rPr>
        <w:t>Ghezzi</w:t>
      </w:r>
      <w:proofErr w:type="spellEnd"/>
    </w:p>
    <w:p w:rsidR="003C3440" w:rsidRPr="00592C91" w:rsidRDefault="003C3440" w:rsidP="003C3440">
      <w:pPr>
        <w:rPr>
          <w:rFonts w:ascii="Apercu Pro" w:hAnsi="Apercu Pro"/>
          <w:sz w:val="24"/>
          <w:szCs w:val="24"/>
        </w:rPr>
      </w:pPr>
      <w:r w:rsidRPr="00592C91">
        <w:rPr>
          <w:rFonts w:ascii="Apercu Pro" w:hAnsi="Apercu Pro"/>
          <w:b/>
          <w:bCs/>
          <w:sz w:val="24"/>
          <w:szCs w:val="24"/>
        </w:rPr>
        <w:t xml:space="preserve">Peter Krafft, Domenico (II) </w:t>
      </w:r>
      <w:proofErr w:type="spellStart"/>
      <w:r w:rsidRPr="00592C91">
        <w:rPr>
          <w:rFonts w:ascii="Apercu Pro" w:hAnsi="Apercu Pro"/>
          <w:b/>
          <w:bCs/>
          <w:sz w:val="24"/>
          <w:szCs w:val="24"/>
        </w:rPr>
        <w:t>Artaria</w:t>
      </w:r>
      <w:proofErr w:type="spellEnd"/>
      <w:r w:rsidRPr="00592C91">
        <w:rPr>
          <w:rFonts w:ascii="Apercu Pro" w:hAnsi="Apercu Pro"/>
          <w:sz w:val="24"/>
          <w:szCs w:val="24"/>
        </w:rPr>
        <w:t>, 1816 © 2024 RGS/</w:t>
      </w:r>
      <w:proofErr w:type="spellStart"/>
      <w:r w:rsidRPr="00592C91">
        <w:rPr>
          <w:rFonts w:ascii="Apercu Pro" w:hAnsi="Apercu Pro"/>
          <w:sz w:val="24"/>
          <w:szCs w:val="24"/>
        </w:rPr>
        <w:t>Ghezzi</w:t>
      </w:r>
      <w:proofErr w:type="spellEnd"/>
    </w:p>
    <w:p w:rsidR="00E40FBD" w:rsidRPr="00592C91" w:rsidRDefault="00E40FBD" w:rsidP="00E40FBD">
      <w:pPr>
        <w:rPr>
          <w:rFonts w:ascii="Apercu Pro" w:hAnsi="Apercu Pro"/>
        </w:rPr>
      </w:pPr>
    </w:p>
    <w:p w:rsidR="00E40FBD" w:rsidRPr="00592C91" w:rsidRDefault="00E40FBD" w:rsidP="00E40FBD">
      <w:pPr>
        <w:rPr>
          <w:rFonts w:ascii="Apercu Pro" w:hAnsi="Apercu Pro"/>
        </w:rPr>
      </w:pPr>
    </w:p>
    <w:sectPr w:rsidR="00E40FBD" w:rsidRPr="00592C91" w:rsidSect="00737D4C">
      <w:headerReference w:type="default" r:id="rId11"/>
      <w:footerReference w:type="default" r:id="rId12"/>
      <w:pgSz w:w="11906" w:h="16838"/>
      <w:pgMar w:top="3294" w:right="964" w:bottom="1134" w:left="1985"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82F" w:rsidRDefault="00AF782F">
      <w:pPr>
        <w:spacing w:line="240" w:lineRule="auto"/>
      </w:pPr>
      <w:r>
        <w:separator/>
      </w:r>
    </w:p>
  </w:endnote>
  <w:endnote w:type="continuationSeparator" w:id="0">
    <w:p w:rsidR="00AF782F" w:rsidRDefault="00AF7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72"/>
    <w:panose1 w:val="020B0503050601040103"/>
    <w:charset w:val="00"/>
    <w:family w:val="swiss"/>
    <w:notTrueType/>
    <w:pitch w:val="variable"/>
    <w:sig w:usb0="000002C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16"/>
        <w:szCs w:val="16"/>
      </w:rPr>
      <w:id w:val="-1705238520"/>
      <w:docPartObj>
        <w:docPartGallery w:val="Page Numbers (Top of Page)"/>
        <w:docPartUnique/>
      </w:docPartObj>
    </w:sdtPr>
    <w:sdtEndPr/>
    <w:sdtContent>
      <w:p w:rsidR="004C309D" w:rsidRPr="004C309D" w:rsidRDefault="004C309D">
        <w:pPr>
          <w:pStyle w:val="Fuzeile"/>
          <w:rPr>
            <w:rFonts w:ascii="Apercu Pro" w:hAnsi="Apercu Pro"/>
            <w:sz w:val="16"/>
            <w:szCs w:val="16"/>
          </w:rPr>
        </w:pPr>
        <w:r w:rsidRPr="008A70F2">
          <w:rPr>
            <w:rFonts w:ascii="Apercu Pro" w:hAnsi="Apercu Pro"/>
            <w:bCs/>
            <w:sz w:val="16"/>
            <w:szCs w:val="16"/>
          </w:rPr>
          <w:fldChar w:fldCharType="begin"/>
        </w:r>
        <w:r w:rsidRPr="008A70F2">
          <w:rPr>
            <w:rFonts w:ascii="Apercu Pro" w:hAnsi="Apercu Pro"/>
            <w:bCs/>
            <w:sz w:val="16"/>
            <w:szCs w:val="16"/>
          </w:rPr>
          <w:instrText>PAGE</w:instrText>
        </w:r>
        <w:r w:rsidRPr="008A70F2">
          <w:rPr>
            <w:rFonts w:ascii="Apercu Pro" w:hAnsi="Apercu Pro"/>
            <w:bCs/>
            <w:sz w:val="16"/>
            <w:szCs w:val="16"/>
          </w:rPr>
          <w:fldChar w:fldCharType="separate"/>
        </w:r>
        <w:r w:rsidR="003040C5">
          <w:rPr>
            <w:rFonts w:ascii="Apercu Pro" w:hAnsi="Apercu Pro"/>
            <w:bCs/>
            <w:noProof/>
            <w:sz w:val="16"/>
            <w:szCs w:val="16"/>
          </w:rPr>
          <w:t>4</w:t>
        </w:r>
        <w:r w:rsidRPr="008A70F2">
          <w:rPr>
            <w:rFonts w:ascii="Apercu Pro" w:hAnsi="Apercu Pro"/>
            <w:bCs/>
            <w:sz w:val="16"/>
            <w:szCs w:val="16"/>
          </w:rPr>
          <w:fldChar w:fldCharType="end"/>
        </w:r>
        <w:r w:rsidRPr="008A70F2">
          <w:rPr>
            <w:rFonts w:ascii="Apercu Pro" w:hAnsi="Apercu Pro"/>
            <w:sz w:val="16"/>
            <w:szCs w:val="16"/>
            <w:lang w:val="de-DE"/>
          </w:rPr>
          <w:t xml:space="preserve"> </w:t>
        </w:r>
        <w:r>
          <w:rPr>
            <w:rFonts w:ascii="Apercu Pro" w:hAnsi="Apercu Pro"/>
            <w:sz w:val="16"/>
            <w:szCs w:val="16"/>
            <w:lang w:val="de-DE"/>
          </w:rPr>
          <w:t>/</w:t>
        </w:r>
        <w:r w:rsidRPr="008A70F2">
          <w:rPr>
            <w:rFonts w:ascii="Apercu Pro" w:hAnsi="Apercu Pro"/>
            <w:sz w:val="16"/>
            <w:szCs w:val="16"/>
            <w:lang w:val="de-DE"/>
          </w:rPr>
          <w:t xml:space="preserve"> </w:t>
        </w:r>
        <w:r w:rsidRPr="008A70F2">
          <w:rPr>
            <w:rFonts w:ascii="Apercu Pro" w:hAnsi="Apercu Pro"/>
            <w:bCs/>
            <w:sz w:val="16"/>
            <w:szCs w:val="16"/>
          </w:rPr>
          <w:fldChar w:fldCharType="begin"/>
        </w:r>
        <w:r w:rsidRPr="008A70F2">
          <w:rPr>
            <w:rFonts w:ascii="Apercu Pro" w:hAnsi="Apercu Pro"/>
            <w:bCs/>
            <w:sz w:val="16"/>
            <w:szCs w:val="16"/>
          </w:rPr>
          <w:instrText>NUMPAGES</w:instrText>
        </w:r>
        <w:r w:rsidRPr="008A70F2">
          <w:rPr>
            <w:rFonts w:ascii="Apercu Pro" w:hAnsi="Apercu Pro"/>
            <w:bCs/>
            <w:sz w:val="16"/>
            <w:szCs w:val="16"/>
          </w:rPr>
          <w:fldChar w:fldCharType="separate"/>
        </w:r>
        <w:r w:rsidR="003040C5">
          <w:rPr>
            <w:rFonts w:ascii="Apercu Pro" w:hAnsi="Apercu Pro"/>
            <w:bCs/>
            <w:noProof/>
            <w:sz w:val="16"/>
            <w:szCs w:val="16"/>
          </w:rPr>
          <w:t>6</w:t>
        </w:r>
        <w:r w:rsidRPr="008A70F2">
          <w:rPr>
            <w:rFonts w:ascii="Apercu Pro" w:hAnsi="Apercu Pro"/>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82F" w:rsidRDefault="00AF782F">
      <w:pPr>
        <w:spacing w:line="240" w:lineRule="auto"/>
      </w:pPr>
      <w:r>
        <w:separator/>
      </w:r>
    </w:p>
  </w:footnote>
  <w:footnote w:type="continuationSeparator" w:id="0">
    <w:p w:rsidR="00AF782F" w:rsidRDefault="00AF78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AF782F" w:rsidP="00AF782F">
    <w:pPr>
      <w:pStyle w:val="Kopfzeile"/>
      <w:ind w:left="-1843"/>
    </w:pPr>
    <w:r w:rsidRPr="00AF782F">
      <w:rPr>
        <w:noProof/>
        <w:lang w:eastAsia="de-AT"/>
      </w:rPr>
      <w:drawing>
        <wp:inline distT="0" distB="0" distL="0" distR="0">
          <wp:extent cx="3056255" cy="1557655"/>
          <wp:effectExtent l="0" t="0" r="0" b="0"/>
          <wp:docPr id="14" name="Grafik 14" descr="P:\abteilung\579\Marketing\Marketing 2024\10-Jahre-DQ-Jubilaeumslogo\salic_240115-10-jahre-dq-logo-farbe_2024-01-15_1248\240115-10-Jahre-DQ-Logo-Farbe\DQ\PNG\DQ-2023-10-Jahre-Domquartier-Jubilaeumslogo-Farbe-mit-Bildzeichen-Blau-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Marketing\Marketing 2024\10-Jahre-DQ-Jubilaeumslogo\salic_240115-10-jahre-dq-logo-farbe_2024-01-15_1248\240115-10-Jahre-DQ-Logo-Farbe\DQ\PNG\DQ-2023-10-Jahre-Domquartier-Jubilaeumslogo-Farbe-mit-Bildzeichen-Blau-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255" cy="1557655"/>
                  </a:xfrm>
                  <a:prstGeom prst="rect">
                    <a:avLst/>
                  </a:prstGeom>
                  <a:noFill/>
                  <a:ln>
                    <a:noFill/>
                  </a:ln>
                </pic:spPr>
              </pic:pic>
            </a:graphicData>
          </a:graphic>
        </wp:inline>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92AB"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D3579"/>
    <w:multiLevelType w:val="hybridMultilevel"/>
    <w:tmpl w:val="3AF4212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782316B4"/>
    <w:multiLevelType w:val="multilevel"/>
    <w:tmpl w:val="55E6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2F"/>
    <w:rsid w:val="00094899"/>
    <w:rsid w:val="000F49D7"/>
    <w:rsid w:val="00102B37"/>
    <w:rsid w:val="001256D3"/>
    <w:rsid w:val="00162B3C"/>
    <w:rsid w:val="001D7B80"/>
    <w:rsid w:val="002266D3"/>
    <w:rsid w:val="0023545F"/>
    <w:rsid w:val="002424E1"/>
    <w:rsid w:val="0026444B"/>
    <w:rsid w:val="002F313A"/>
    <w:rsid w:val="00302B7E"/>
    <w:rsid w:val="003040C5"/>
    <w:rsid w:val="00327F50"/>
    <w:rsid w:val="00360417"/>
    <w:rsid w:val="003801F0"/>
    <w:rsid w:val="003C3440"/>
    <w:rsid w:val="003F0CFA"/>
    <w:rsid w:val="00442D10"/>
    <w:rsid w:val="004646AC"/>
    <w:rsid w:val="004B5905"/>
    <w:rsid w:val="004C309D"/>
    <w:rsid w:val="004F42D6"/>
    <w:rsid w:val="005111C9"/>
    <w:rsid w:val="005810B9"/>
    <w:rsid w:val="00592C91"/>
    <w:rsid w:val="00617A5C"/>
    <w:rsid w:val="00637A24"/>
    <w:rsid w:val="006408F3"/>
    <w:rsid w:val="00655AF1"/>
    <w:rsid w:val="00662B75"/>
    <w:rsid w:val="006660A6"/>
    <w:rsid w:val="006B1A09"/>
    <w:rsid w:val="006D162C"/>
    <w:rsid w:val="006D1A60"/>
    <w:rsid w:val="00737D4C"/>
    <w:rsid w:val="00780C1F"/>
    <w:rsid w:val="007A119E"/>
    <w:rsid w:val="007A1F81"/>
    <w:rsid w:val="007A3553"/>
    <w:rsid w:val="007C68C6"/>
    <w:rsid w:val="007F0F6C"/>
    <w:rsid w:val="008062DE"/>
    <w:rsid w:val="008464E4"/>
    <w:rsid w:val="00901578"/>
    <w:rsid w:val="00905C94"/>
    <w:rsid w:val="009A43C5"/>
    <w:rsid w:val="009F69F0"/>
    <w:rsid w:val="00A40D07"/>
    <w:rsid w:val="00A91842"/>
    <w:rsid w:val="00AA4285"/>
    <w:rsid w:val="00AC2F0C"/>
    <w:rsid w:val="00AF0C3C"/>
    <w:rsid w:val="00AF782F"/>
    <w:rsid w:val="00B57157"/>
    <w:rsid w:val="00BA3639"/>
    <w:rsid w:val="00BB24A7"/>
    <w:rsid w:val="00BF1D23"/>
    <w:rsid w:val="00C16402"/>
    <w:rsid w:val="00C300EE"/>
    <w:rsid w:val="00C41134"/>
    <w:rsid w:val="00C5104C"/>
    <w:rsid w:val="00C5248D"/>
    <w:rsid w:val="00C6342D"/>
    <w:rsid w:val="00C672C5"/>
    <w:rsid w:val="00CA7C5D"/>
    <w:rsid w:val="00CE61D4"/>
    <w:rsid w:val="00D60BB4"/>
    <w:rsid w:val="00D733CC"/>
    <w:rsid w:val="00DA1CD9"/>
    <w:rsid w:val="00DB36E3"/>
    <w:rsid w:val="00DD701C"/>
    <w:rsid w:val="00E02108"/>
    <w:rsid w:val="00E14168"/>
    <w:rsid w:val="00E23C6D"/>
    <w:rsid w:val="00E40FBD"/>
    <w:rsid w:val="00E960DA"/>
    <w:rsid w:val="00EC7453"/>
    <w:rsid w:val="00ED70B9"/>
    <w:rsid w:val="00EE0464"/>
    <w:rsid w:val="00F45902"/>
    <w:rsid w:val="00F5537D"/>
    <w:rsid w:val="00F90DAB"/>
    <w:rsid w:val="00F94B4D"/>
    <w:rsid w:val="00FA32C0"/>
    <w:rsid w:val="00FC5806"/>
    <w:rsid w:val="00FC5D21"/>
    <w:rsid w:val="00FE5F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1DEA58F"/>
  <w15:chartTrackingRefBased/>
  <w15:docId w15:val="{A9A36272-1280-430F-BA3E-4CC5009A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60DA"/>
    <w:pPr>
      <w:spacing w:after="0" w:line="260" w:lineRule="atLeast"/>
    </w:pPr>
    <w:rPr>
      <w:rFonts w:ascii="Trebuchet MS" w:hAnsi="Trebuchet MS"/>
    </w:rPr>
  </w:style>
  <w:style w:type="paragraph" w:styleId="berschrift1">
    <w:name w:val="heading 1"/>
    <w:basedOn w:val="Standard"/>
    <w:next w:val="Standard"/>
    <w:link w:val="berschrift1Zchn"/>
    <w:uiPriority w:val="9"/>
    <w:qFormat/>
    <w:pPr>
      <w:keepNext/>
      <w:keepLines/>
      <w:spacing w:before="480" w:line="360" w:lineRule="atLeast"/>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line="360" w:lineRule="atLeast"/>
      <w:outlineLvl w:val="1"/>
    </w:pPr>
    <w:rPr>
      <w:rFonts w:ascii="Arial" w:eastAsiaTheme="majorEastAsia" w:hAnsi="Arial"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line="360" w:lineRule="atLeast"/>
      <w:outlineLvl w:val="2"/>
    </w:pPr>
    <w:rPr>
      <w:rFonts w:ascii="Arial" w:eastAsiaTheme="majorEastAsia" w:hAnsi="Arial" w:cstheme="majorBidi"/>
      <w:b/>
      <w:bCs/>
      <w:sz w:val="24"/>
    </w:rPr>
  </w:style>
  <w:style w:type="paragraph" w:styleId="berschrift4">
    <w:name w:val="heading 4"/>
    <w:basedOn w:val="Standard"/>
    <w:next w:val="Standard"/>
    <w:link w:val="berschrift4Zchn"/>
    <w:uiPriority w:val="9"/>
    <w:semiHidden/>
    <w:unhideWhenUsed/>
    <w:qFormat/>
    <w:pPr>
      <w:keepNext/>
      <w:keepLines/>
      <w:spacing w:before="200" w:line="360" w:lineRule="atLeast"/>
      <w:outlineLvl w:val="3"/>
    </w:pPr>
    <w:rPr>
      <w:rFonts w:ascii="Arial" w:eastAsiaTheme="majorEastAsia" w:hAnsi="Arial" w:cstheme="majorBidi"/>
      <w:b/>
      <w:bCs/>
      <w:i/>
      <w:iCs/>
      <w:sz w:val="24"/>
    </w:rPr>
  </w:style>
  <w:style w:type="paragraph" w:styleId="berschrift5">
    <w:name w:val="heading 5"/>
    <w:basedOn w:val="Standard"/>
    <w:next w:val="Standard"/>
    <w:link w:val="berschrift5Zchn"/>
    <w:uiPriority w:val="9"/>
    <w:semiHidden/>
    <w:unhideWhenUsed/>
    <w:qFormat/>
    <w:pPr>
      <w:keepNext/>
      <w:keepLines/>
      <w:spacing w:before="200" w:line="360" w:lineRule="atLeast"/>
      <w:outlineLvl w:val="4"/>
    </w:pPr>
    <w:rPr>
      <w:rFonts w:ascii="Arial" w:eastAsiaTheme="majorEastAsia" w:hAnsi="Arial"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spacing w:line="360" w:lineRule="atLeast"/>
    </w:pPr>
    <w:rPr>
      <w:rFonts w:ascii="Arial" w:eastAsiaTheme="majorEastAsia" w:hAnsi="Arial" w:cstheme="majorBidi"/>
      <w:i/>
      <w:iCs/>
      <w:spacing w:val="15"/>
      <w:sz w:val="24"/>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rPr>
      <w:rFonts w:ascii="Arial" w:hAnsi="Arial"/>
      <w:sz w:val="24"/>
    </w:r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rPr>
      <w:rFonts w:ascii="Arial" w:hAnsi="Arial"/>
      <w:sz w:val="24"/>
    </w:r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Sprechblasentext">
    <w:name w:val="Balloon Text"/>
    <w:basedOn w:val="Standard"/>
    <w:link w:val="SprechblasentextZchn"/>
    <w:uiPriority w:val="99"/>
    <w:semiHidden/>
    <w:unhideWhenUsed/>
    <w:rsid w:val="00C6342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42D"/>
    <w:rPr>
      <w:rFonts w:ascii="Segoe UI" w:hAnsi="Segoe UI" w:cs="Segoe UI"/>
      <w:sz w:val="18"/>
      <w:szCs w:val="18"/>
    </w:rPr>
  </w:style>
  <w:style w:type="table" w:styleId="Tabellenraster">
    <w:name w:val="Table Grid"/>
    <w:basedOn w:val="NormaleTabelle"/>
    <w:uiPriority w:val="39"/>
    <w:rsid w:val="00E9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A7C5D"/>
    <w:pPr>
      <w:ind w:left="720"/>
      <w:contextualSpacing/>
    </w:pPr>
  </w:style>
  <w:style w:type="character" w:customStyle="1" w:styleId="event-start-day">
    <w:name w:val="event-start-day"/>
    <w:basedOn w:val="Absatz-Standardschriftart"/>
    <w:rsid w:val="00BB24A7"/>
  </w:style>
  <w:style w:type="character" w:customStyle="1" w:styleId="event-start">
    <w:name w:val="event-start"/>
    <w:basedOn w:val="Absatz-Standardschriftart"/>
    <w:rsid w:val="00BB24A7"/>
  </w:style>
  <w:style w:type="character" w:customStyle="1" w:styleId="event-time">
    <w:name w:val="event-time"/>
    <w:basedOn w:val="Absatz-Standardschriftart"/>
    <w:rsid w:val="00BB24A7"/>
  </w:style>
  <w:style w:type="paragraph" w:customStyle="1" w:styleId="Beschriftung1">
    <w:name w:val="Beschriftung1"/>
    <w:basedOn w:val="Standard"/>
    <w:rsid w:val="00BB24A7"/>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wp-caption-text">
    <w:name w:val="wp-caption-text"/>
    <w:basedOn w:val="Standard"/>
    <w:rsid w:val="00BB24A7"/>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248072441">
      <w:bodyDiv w:val="1"/>
      <w:marLeft w:val="0"/>
      <w:marRight w:val="0"/>
      <w:marTop w:val="0"/>
      <w:marBottom w:val="0"/>
      <w:divBdr>
        <w:top w:val="none" w:sz="0" w:space="0" w:color="auto"/>
        <w:left w:val="none" w:sz="0" w:space="0" w:color="auto"/>
        <w:bottom w:val="none" w:sz="0" w:space="0" w:color="auto"/>
        <w:right w:val="none" w:sz="0" w:space="0" w:color="auto"/>
      </w:divBdr>
    </w:div>
    <w:div w:id="1495606294">
      <w:bodyDiv w:val="1"/>
      <w:marLeft w:val="0"/>
      <w:marRight w:val="0"/>
      <w:marTop w:val="0"/>
      <w:marBottom w:val="0"/>
      <w:divBdr>
        <w:top w:val="none" w:sz="0" w:space="0" w:color="auto"/>
        <w:left w:val="none" w:sz="0" w:space="0" w:color="auto"/>
        <w:bottom w:val="none" w:sz="0" w:space="0" w:color="auto"/>
        <w:right w:val="none" w:sz="0" w:space="0" w:color="auto"/>
      </w:divBdr>
    </w:div>
    <w:div w:id="1778406321">
      <w:bodyDiv w:val="1"/>
      <w:marLeft w:val="0"/>
      <w:marRight w:val="0"/>
      <w:marTop w:val="0"/>
      <w:marBottom w:val="0"/>
      <w:divBdr>
        <w:top w:val="none" w:sz="0" w:space="0" w:color="auto"/>
        <w:left w:val="none" w:sz="0" w:space="0" w:color="auto"/>
        <w:bottom w:val="none" w:sz="0" w:space="0" w:color="auto"/>
        <w:right w:val="none" w:sz="0" w:space="0" w:color="auto"/>
      </w:divBdr>
    </w:div>
    <w:div w:id="1905023342">
      <w:bodyDiv w:val="1"/>
      <w:marLeft w:val="0"/>
      <w:marRight w:val="0"/>
      <w:marTop w:val="0"/>
      <w:marBottom w:val="0"/>
      <w:divBdr>
        <w:top w:val="none" w:sz="0" w:space="0" w:color="auto"/>
        <w:left w:val="none" w:sz="0" w:space="0" w:color="auto"/>
        <w:bottom w:val="none" w:sz="0" w:space="0" w:color="auto"/>
        <w:right w:val="none" w:sz="0" w:space="0" w:color="auto"/>
      </w:divBdr>
    </w:div>
    <w:div w:id="2028602271">
      <w:bodyDiv w:val="1"/>
      <w:marLeft w:val="0"/>
      <w:marRight w:val="0"/>
      <w:marTop w:val="0"/>
      <w:marBottom w:val="0"/>
      <w:divBdr>
        <w:top w:val="none" w:sz="0" w:space="0" w:color="auto"/>
        <w:left w:val="none" w:sz="0" w:space="0" w:color="auto"/>
        <w:bottom w:val="none" w:sz="0" w:space="0" w:color="auto"/>
        <w:right w:val="none" w:sz="0" w:space="0" w:color="auto"/>
      </w:divBdr>
    </w:div>
    <w:div w:id="2094468145">
      <w:bodyDiv w:val="1"/>
      <w:marLeft w:val="0"/>
      <w:marRight w:val="0"/>
      <w:marTop w:val="0"/>
      <w:marBottom w:val="0"/>
      <w:divBdr>
        <w:top w:val="none" w:sz="0" w:space="0" w:color="auto"/>
        <w:left w:val="none" w:sz="0" w:space="0" w:color="auto"/>
        <w:bottom w:val="none" w:sz="0" w:space="0" w:color="auto"/>
        <w:right w:val="none" w:sz="0" w:space="0" w:color="auto"/>
      </w:divBdr>
      <w:divsChild>
        <w:div w:id="1983387113">
          <w:marLeft w:val="0"/>
          <w:marRight w:val="0"/>
          <w:marTop w:val="0"/>
          <w:marBottom w:val="0"/>
          <w:divBdr>
            <w:top w:val="none" w:sz="0" w:space="0" w:color="auto"/>
            <w:left w:val="none" w:sz="0" w:space="0" w:color="auto"/>
            <w:bottom w:val="none" w:sz="0" w:space="0" w:color="auto"/>
            <w:right w:val="none" w:sz="0" w:space="0" w:color="auto"/>
          </w:divBdr>
        </w:div>
        <w:div w:id="375081872">
          <w:marLeft w:val="-225"/>
          <w:marRight w:val="-225"/>
          <w:marTop w:val="0"/>
          <w:marBottom w:val="0"/>
          <w:divBdr>
            <w:top w:val="none" w:sz="0" w:space="0" w:color="auto"/>
            <w:left w:val="none" w:sz="0" w:space="0" w:color="auto"/>
            <w:bottom w:val="none" w:sz="0" w:space="0" w:color="auto"/>
            <w:right w:val="none" w:sz="0" w:space="0" w:color="auto"/>
          </w:divBdr>
          <w:divsChild>
            <w:div w:id="556087323">
              <w:marLeft w:val="0"/>
              <w:marRight w:val="0"/>
              <w:marTop w:val="0"/>
              <w:marBottom w:val="0"/>
              <w:divBdr>
                <w:top w:val="none" w:sz="0" w:space="0" w:color="auto"/>
                <w:left w:val="none" w:sz="0" w:space="0" w:color="auto"/>
                <w:bottom w:val="none" w:sz="0" w:space="0" w:color="auto"/>
                <w:right w:val="none" w:sz="0" w:space="0" w:color="auto"/>
              </w:divBdr>
            </w:div>
            <w:div w:id="1466661196">
              <w:marLeft w:val="0"/>
              <w:marRight w:val="0"/>
              <w:marTop w:val="0"/>
              <w:marBottom w:val="0"/>
              <w:divBdr>
                <w:top w:val="none" w:sz="0" w:space="0" w:color="auto"/>
                <w:left w:val="none" w:sz="0" w:space="0" w:color="auto"/>
                <w:bottom w:val="none" w:sz="0" w:space="0" w:color="auto"/>
                <w:right w:val="none" w:sz="0" w:space="0" w:color="auto"/>
              </w:divBdr>
              <w:divsChild>
                <w:div w:id="736560249">
                  <w:marLeft w:val="0"/>
                  <w:marRight w:val="0"/>
                  <w:marTop w:val="0"/>
                  <w:marBottom w:val="0"/>
                  <w:divBdr>
                    <w:top w:val="none" w:sz="0" w:space="0" w:color="auto"/>
                    <w:left w:val="none" w:sz="0" w:space="0" w:color="auto"/>
                    <w:bottom w:val="none" w:sz="0" w:space="0" w:color="auto"/>
                    <w:right w:val="none" w:sz="0" w:space="0" w:color="auto"/>
                  </w:divBdr>
                </w:div>
                <w:div w:id="302203652">
                  <w:marLeft w:val="0"/>
                  <w:marRight w:val="0"/>
                  <w:marTop w:val="0"/>
                  <w:marBottom w:val="0"/>
                  <w:divBdr>
                    <w:top w:val="none" w:sz="0" w:space="0" w:color="auto"/>
                    <w:left w:val="none" w:sz="0" w:space="0" w:color="auto"/>
                    <w:bottom w:val="none" w:sz="0" w:space="0" w:color="auto"/>
                    <w:right w:val="none" w:sz="0" w:space="0" w:color="auto"/>
                  </w:divBdr>
                </w:div>
                <w:div w:id="1651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domquartier.at/presse/allgemein-pres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1606</Words>
  <Characters>10119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Aichner</dc:creator>
  <cp:keywords/>
  <dc:description/>
  <cp:lastModifiedBy>Nadine Ratzenberger</cp:lastModifiedBy>
  <cp:revision>51</cp:revision>
  <cp:lastPrinted>2024-07-23T07:13:00Z</cp:lastPrinted>
  <dcterms:created xsi:type="dcterms:W3CDTF">2024-07-18T06:46:00Z</dcterms:created>
  <dcterms:modified xsi:type="dcterms:W3CDTF">2024-07-23T07:23:00Z</dcterms:modified>
</cp:coreProperties>
</file>